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C9" w:rsidRPr="00DF7C37" w:rsidRDefault="00B96FCF">
      <w:pPr>
        <w:spacing w:beforeLines="50" w:before="156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F7C37">
        <w:rPr>
          <w:rFonts w:ascii="黑体" w:eastAsia="黑体" w:hAnsi="黑体" w:hint="eastAsia"/>
          <w:sz w:val="32"/>
          <w:szCs w:val="32"/>
        </w:rPr>
        <w:t>洪泽区</w:t>
      </w:r>
      <w:r w:rsidR="00DF7C37" w:rsidRPr="00DF7C37">
        <w:rPr>
          <w:rFonts w:ascii="黑体" w:eastAsia="黑体" w:hAnsi="黑体" w:hint="eastAsia"/>
          <w:sz w:val="32"/>
          <w:szCs w:val="32"/>
        </w:rPr>
        <w:t>2020年度</w:t>
      </w:r>
      <w:r w:rsidR="000E253F" w:rsidRPr="00DF7C37">
        <w:rPr>
          <w:rFonts w:ascii="黑体" w:eastAsia="黑体" w:hAnsi="黑体" w:hint="eastAsia"/>
          <w:sz w:val="32"/>
          <w:szCs w:val="32"/>
        </w:rPr>
        <w:t>集体建设用地定级与基准地价成果</w:t>
      </w:r>
      <w:r w:rsidR="00DF7C37" w:rsidRPr="00DF7C37">
        <w:rPr>
          <w:rFonts w:ascii="黑体" w:eastAsia="黑体" w:hAnsi="黑体" w:hint="eastAsia"/>
          <w:sz w:val="32"/>
          <w:szCs w:val="32"/>
        </w:rPr>
        <w:t>公示</w:t>
      </w:r>
    </w:p>
    <w:p w:rsidR="000B082B" w:rsidRPr="000B082B" w:rsidRDefault="000B082B" w:rsidP="000B082B">
      <w:pPr>
        <w:keepNext/>
        <w:keepLines/>
        <w:spacing w:beforeLines="50" w:before="156" w:afterLines="50" w:after="156" w:line="360" w:lineRule="auto"/>
        <w:ind w:firstLineChars="0" w:firstLine="0"/>
        <w:outlineLvl w:val="0"/>
        <w:rPr>
          <w:rFonts w:eastAsia="黑体"/>
          <w:b/>
          <w:bCs/>
          <w:kern w:val="44"/>
          <w:szCs w:val="44"/>
        </w:rPr>
      </w:pPr>
      <w:r w:rsidRPr="000B082B">
        <w:rPr>
          <w:rFonts w:eastAsia="黑体" w:hint="eastAsia"/>
          <w:b/>
          <w:bCs/>
          <w:kern w:val="44"/>
          <w:szCs w:val="44"/>
        </w:rPr>
        <w:t>一、地价内涵</w:t>
      </w:r>
    </w:p>
    <w:p w:rsidR="000B082B" w:rsidRPr="000B082B" w:rsidRDefault="000B082B" w:rsidP="000B082B">
      <w:pPr>
        <w:ind w:firstLine="560"/>
        <w:rPr>
          <w:rFonts w:cs="Times New Roman"/>
          <w:szCs w:val="28"/>
        </w:rPr>
      </w:pPr>
      <w:r w:rsidRPr="000B082B">
        <w:rPr>
          <w:rFonts w:cs="Times New Roman" w:hint="eastAsia"/>
          <w:szCs w:val="28"/>
        </w:rPr>
        <w:t>（一）估价期日</w:t>
      </w:r>
    </w:p>
    <w:p w:rsidR="000B082B" w:rsidRPr="000B082B" w:rsidRDefault="000B082B" w:rsidP="000B082B">
      <w:pPr>
        <w:ind w:firstLine="560"/>
        <w:rPr>
          <w:rFonts w:cs="Times New Roman"/>
          <w:szCs w:val="28"/>
        </w:rPr>
      </w:pPr>
      <w:r w:rsidRPr="000B082B">
        <w:rPr>
          <w:rFonts w:cs="Times New Roman" w:hint="eastAsia"/>
          <w:szCs w:val="28"/>
        </w:rPr>
        <w:t>本次估价期日为</w:t>
      </w:r>
      <w:r w:rsidRPr="000B082B">
        <w:rPr>
          <w:rFonts w:cs="Times New Roman" w:hint="eastAsia"/>
          <w:szCs w:val="28"/>
        </w:rPr>
        <w:t>202</w:t>
      </w:r>
      <w:r>
        <w:rPr>
          <w:rFonts w:cs="Times New Roman" w:hint="eastAsia"/>
          <w:szCs w:val="28"/>
        </w:rPr>
        <w:t>1</w:t>
      </w:r>
      <w:r w:rsidRPr="000B082B">
        <w:rPr>
          <w:rFonts w:cs="Times New Roman" w:hint="eastAsia"/>
          <w:szCs w:val="28"/>
        </w:rPr>
        <w:t>年</w:t>
      </w:r>
      <w:r w:rsidRPr="000B082B">
        <w:rPr>
          <w:rFonts w:cs="Times New Roman" w:hint="eastAsia"/>
          <w:szCs w:val="28"/>
        </w:rPr>
        <w:t>1</w:t>
      </w:r>
      <w:r w:rsidRPr="000B082B">
        <w:rPr>
          <w:rFonts w:cs="Times New Roman" w:hint="eastAsia"/>
          <w:szCs w:val="28"/>
        </w:rPr>
        <w:t>月</w:t>
      </w:r>
      <w:r w:rsidRPr="000B082B">
        <w:rPr>
          <w:rFonts w:cs="Times New Roman" w:hint="eastAsia"/>
          <w:szCs w:val="28"/>
        </w:rPr>
        <w:t>1</w:t>
      </w:r>
      <w:r w:rsidRPr="000B082B">
        <w:rPr>
          <w:rFonts w:cs="Times New Roman" w:hint="eastAsia"/>
          <w:szCs w:val="28"/>
        </w:rPr>
        <w:t>日。</w:t>
      </w:r>
    </w:p>
    <w:p w:rsidR="000B082B" w:rsidRPr="000B082B" w:rsidRDefault="0053063B" w:rsidP="000B082B">
      <w:pPr>
        <w:ind w:firstLine="560"/>
        <w:rPr>
          <w:rFonts w:cs="Times New Roman"/>
        </w:rPr>
      </w:pPr>
      <w:r w:rsidRPr="000B082B">
        <w:rPr>
          <w:rFonts w:cs="Times New Roman" w:hint="eastAsia"/>
          <w:szCs w:val="28"/>
        </w:rPr>
        <w:t>（</w:t>
      </w:r>
      <w:r>
        <w:rPr>
          <w:rFonts w:cs="Times New Roman" w:hint="eastAsia"/>
          <w:szCs w:val="28"/>
        </w:rPr>
        <w:t>二</w:t>
      </w:r>
      <w:r w:rsidRPr="000B082B">
        <w:rPr>
          <w:rFonts w:cs="Times New Roman" w:hint="eastAsia"/>
          <w:szCs w:val="28"/>
        </w:rPr>
        <w:t>）</w:t>
      </w:r>
      <w:r w:rsidR="000B082B" w:rsidRPr="000B082B">
        <w:rPr>
          <w:rFonts w:cs="Times New Roman"/>
        </w:rPr>
        <w:t>土地使用年期</w:t>
      </w:r>
    </w:p>
    <w:p w:rsidR="000B082B" w:rsidRPr="000B082B" w:rsidRDefault="000B082B" w:rsidP="000B082B">
      <w:pPr>
        <w:ind w:firstLine="560"/>
        <w:rPr>
          <w:rFonts w:cs="Times New Roman"/>
        </w:rPr>
      </w:pPr>
      <w:r w:rsidRPr="000B082B">
        <w:rPr>
          <w:rFonts w:cs="Times New Roman" w:hint="eastAsia"/>
        </w:rPr>
        <w:t>商服用地和工业用地采用法定最高出让年期，即商服用地</w:t>
      </w:r>
      <w:r w:rsidRPr="000B082B">
        <w:rPr>
          <w:rFonts w:cs="Times New Roman" w:hint="eastAsia"/>
        </w:rPr>
        <w:t>40</w:t>
      </w:r>
      <w:r w:rsidRPr="000B082B">
        <w:rPr>
          <w:rFonts w:cs="Times New Roman" w:hint="eastAsia"/>
        </w:rPr>
        <w:t>年、工业用地</w:t>
      </w:r>
      <w:r w:rsidRPr="000B082B">
        <w:rPr>
          <w:rFonts w:cs="Times New Roman" w:hint="eastAsia"/>
        </w:rPr>
        <w:t>50</w:t>
      </w:r>
      <w:r w:rsidRPr="000B082B">
        <w:rPr>
          <w:rFonts w:cs="Times New Roman" w:hint="eastAsia"/>
        </w:rPr>
        <w:t>年。宅基地使用权按“无年期限制”设定。</w:t>
      </w:r>
    </w:p>
    <w:p w:rsidR="000B082B" w:rsidRPr="000B082B" w:rsidRDefault="0053063B" w:rsidP="000B082B">
      <w:pPr>
        <w:ind w:firstLine="560"/>
        <w:rPr>
          <w:rFonts w:cs="Times New Roman"/>
        </w:rPr>
      </w:pPr>
      <w:r w:rsidRPr="000B082B">
        <w:rPr>
          <w:rFonts w:cs="Times New Roman" w:hint="eastAsia"/>
          <w:szCs w:val="28"/>
        </w:rPr>
        <w:t>（</w:t>
      </w:r>
      <w:r>
        <w:rPr>
          <w:rFonts w:cs="Times New Roman" w:hint="eastAsia"/>
          <w:szCs w:val="28"/>
        </w:rPr>
        <w:t>三</w:t>
      </w:r>
      <w:r w:rsidRPr="000B082B">
        <w:rPr>
          <w:rFonts w:cs="Times New Roman" w:hint="eastAsia"/>
          <w:szCs w:val="28"/>
        </w:rPr>
        <w:t>）</w:t>
      </w:r>
      <w:r w:rsidR="000B082B" w:rsidRPr="000B082B">
        <w:rPr>
          <w:rFonts w:cs="Times New Roman"/>
        </w:rPr>
        <w:t>土地开发水平</w:t>
      </w:r>
    </w:p>
    <w:p w:rsidR="000B082B" w:rsidRPr="000B082B" w:rsidRDefault="00B96FCF" w:rsidP="000B082B">
      <w:pPr>
        <w:ind w:firstLine="560"/>
        <w:rPr>
          <w:rFonts w:cs="Times New Roman"/>
        </w:rPr>
      </w:pPr>
      <w:r>
        <w:t>根据</w:t>
      </w:r>
      <w:proofErr w:type="gramStart"/>
      <w:r>
        <w:t>各土地</w:t>
      </w:r>
      <w:proofErr w:type="gramEnd"/>
      <w:r>
        <w:t>级别内同一用途现状平均土地开发程度或</w:t>
      </w:r>
      <w:r>
        <w:t>2/3</w:t>
      </w:r>
      <w:r>
        <w:t>以上面积已经达到的宗地红线外基础设施平均水平，宗地红线内</w:t>
      </w:r>
      <w:r>
        <w:t>“</w:t>
      </w:r>
      <w:r>
        <w:t>场地平整</w:t>
      </w:r>
      <w:r>
        <w:t>”</w:t>
      </w:r>
      <w:r>
        <w:t>设定土地开发条件</w:t>
      </w:r>
      <w:r w:rsidR="000B082B" w:rsidRPr="000B082B">
        <w:rPr>
          <w:rFonts w:cs="Times New Roman"/>
        </w:rPr>
        <w:t>。具体设定条件见表</w:t>
      </w:r>
      <w:r w:rsidR="000B082B" w:rsidRPr="000B082B">
        <w:rPr>
          <w:rFonts w:cs="Times New Roman"/>
        </w:rPr>
        <w:t>1</w:t>
      </w:r>
      <w:r w:rsidR="000B082B" w:rsidRPr="000B082B">
        <w:rPr>
          <w:rFonts w:cs="Times New Roman"/>
        </w:rPr>
        <w:t>。</w:t>
      </w:r>
    </w:p>
    <w:p w:rsidR="000B082B" w:rsidRPr="000B082B" w:rsidRDefault="000B082B" w:rsidP="000B082B">
      <w:pPr>
        <w:keepNext/>
        <w:autoSpaceDE w:val="0"/>
        <w:autoSpaceDN w:val="0"/>
        <w:adjustRightInd w:val="0"/>
        <w:spacing w:beforeLines="30" w:before="93" w:afterLines="30" w:after="93" w:line="240" w:lineRule="atLeast"/>
        <w:ind w:firstLineChars="0" w:firstLine="0"/>
        <w:jc w:val="center"/>
        <w:rPr>
          <w:rFonts w:eastAsia="黑体" w:cs="Times New Roman"/>
          <w:szCs w:val="28"/>
        </w:rPr>
      </w:pPr>
      <w:r w:rsidRPr="000B082B">
        <w:rPr>
          <w:rFonts w:eastAsia="黑体" w:cs="Times New Roman" w:hint="eastAsia"/>
          <w:szCs w:val="28"/>
        </w:rPr>
        <w:t>表</w:t>
      </w:r>
      <w:r w:rsidR="000C0915">
        <w:rPr>
          <w:rFonts w:eastAsia="黑体" w:cs="Times New Roman" w:hint="eastAsia"/>
          <w:szCs w:val="28"/>
        </w:rPr>
        <w:t>1</w:t>
      </w:r>
      <w:r w:rsidRPr="000B082B">
        <w:rPr>
          <w:rFonts w:eastAsia="黑体" w:cs="Times New Roman"/>
          <w:szCs w:val="28"/>
        </w:rPr>
        <w:t xml:space="preserve"> </w:t>
      </w:r>
      <w:r w:rsidRPr="000B082B">
        <w:rPr>
          <w:rFonts w:eastAsia="黑体" w:cs="Times New Roman"/>
          <w:szCs w:val="28"/>
        </w:rPr>
        <w:t>各级别内土地开发程度表</w:t>
      </w:r>
    </w:p>
    <w:tbl>
      <w:tblPr>
        <w:tblW w:w="53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8335"/>
      </w:tblGrid>
      <w:tr w:rsidR="000B082B" w:rsidRPr="000B082B" w:rsidTr="00F75A68">
        <w:trPr>
          <w:cantSplit/>
          <w:trHeight w:val="397"/>
          <w:jc w:val="center"/>
        </w:trPr>
        <w:tc>
          <w:tcPr>
            <w:tcW w:w="412" w:type="pct"/>
            <w:vAlign w:val="center"/>
          </w:tcPr>
          <w:p w:rsidR="000B082B" w:rsidRPr="000B082B" w:rsidRDefault="000B082B" w:rsidP="000B082B">
            <w:pPr>
              <w:spacing w:line="240" w:lineRule="exact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0B082B">
              <w:rPr>
                <w:rFonts w:cs="Times New Roman"/>
                <w:b/>
                <w:sz w:val="21"/>
              </w:rPr>
              <w:t>级别</w:t>
            </w:r>
          </w:p>
        </w:tc>
        <w:tc>
          <w:tcPr>
            <w:tcW w:w="4588" w:type="pct"/>
            <w:vAlign w:val="center"/>
          </w:tcPr>
          <w:p w:rsidR="000B082B" w:rsidRPr="000B082B" w:rsidRDefault="000B082B" w:rsidP="000B082B">
            <w:pPr>
              <w:spacing w:line="240" w:lineRule="exact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0B082B">
              <w:rPr>
                <w:rFonts w:cs="Times New Roman"/>
                <w:b/>
                <w:sz w:val="21"/>
              </w:rPr>
              <w:t>土</w:t>
            </w:r>
            <w:r w:rsidRPr="000B082B">
              <w:rPr>
                <w:rFonts w:cs="Times New Roman"/>
                <w:b/>
                <w:sz w:val="21"/>
              </w:rPr>
              <w:t xml:space="preserve">  </w:t>
            </w:r>
            <w:r w:rsidRPr="000B082B">
              <w:rPr>
                <w:rFonts w:cs="Times New Roman"/>
                <w:b/>
                <w:sz w:val="21"/>
              </w:rPr>
              <w:t>地</w:t>
            </w:r>
            <w:r w:rsidRPr="000B082B">
              <w:rPr>
                <w:rFonts w:cs="Times New Roman"/>
                <w:b/>
                <w:sz w:val="21"/>
              </w:rPr>
              <w:t xml:space="preserve">  </w:t>
            </w:r>
            <w:r w:rsidRPr="000B082B">
              <w:rPr>
                <w:rFonts w:cs="Times New Roman"/>
                <w:b/>
                <w:sz w:val="21"/>
              </w:rPr>
              <w:t>开</w:t>
            </w:r>
            <w:r w:rsidRPr="000B082B">
              <w:rPr>
                <w:rFonts w:cs="Times New Roman"/>
                <w:b/>
                <w:sz w:val="21"/>
              </w:rPr>
              <w:t xml:space="preserve">  </w:t>
            </w:r>
            <w:r w:rsidRPr="000B082B">
              <w:rPr>
                <w:rFonts w:cs="Times New Roman"/>
                <w:b/>
                <w:sz w:val="21"/>
              </w:rPr>
              <w:t>发</w:t>
            </w:r>
            <w:r w:rsidRPr="000B082B">
              <w:rPr>
                <w:rFonts w:cs="Times New Roman"/>
                <w:b/>
                <w:sz w:val="21"/>
              </w:rPr>
              <w:t xml:space="preserve">  </w:t>
            </w:r>
            <w:r w:rsidRPr="000B082B">
              <w:rPr>
                <w:rFonts w:cs="Times New Roman"/>
                <w:b/>
                <w:sz w:val="21"/>
              </w:rPr>
              <w:t>程</w:t>
            </w:r>
            <w:r w:rsidRPr="000B082B">
              <w:rPr>
                <w:rFonts w:cs="Times New Roman"/>
                <w:b/>
                <w:sz w:val="21"/>
              </w:rPr>
              <w:t xml:space="preserve">  </w:t>
            </w:r>
            <w:r w:rsidRPr="000B082B">
              <w:rPr>
                <w:rFonts w:cs="Times New Roman"/>
                <w:b/>
                <w:sz w:val="21"/>
              </w:rPr>
              <w:t>度</w:t>
            </w:r>
          </w:p>
        </w:tc>
      </w:tr>
      <w:tr w:rsidR="00B96FCF" w:rsidRPr="000B082B" w:rsidTr="00F75A68">
        <w:trPr>
          <w:cantSplit/>
          <w:trHeight w:val="397"/>
          <w:jc w:val="center"/>
        </w:trPr>
        <w:tc>
          <w:tcPr>
            <w:tcW w:w="412" w:type="pct"/>
            <w:vAlign w:val="center"/>
          </w:tcPr>
          <w:p w:rsidR="00B96FCF" w:rsidRDefault="00B96FCF" w:rsidP="007E7BA7">
            <w:pPr>
              <w:spacing w:line="240" w:lineRule="exact"/>
              <w:ind w:firstLineChars="0" w:firstLine="0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一</w:t>
            </w:r>
            <w:proofErr w:type="gramEnd"/>
          </w:p>
        </w:tc>
        <w:tc>
          <w:tcPr>
            <w:tcW w:w="4588" w:type="pct"/>
            <w:vAlign w:val="center"/>
          </w:tcPr>
          <w:p w:rsidR="00B96FCF" w:rsidRDefault="00B96FCF" w:rsidP="007E7BA7">
            <w:pPr>
              <w:pStyle w:val="xl27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exact"/>
              <w:ind w:firstLineChars="0" w:firstLine="0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  <w:t>宗地红线外通上水、通下水、通讯、通电、通路，宗地红线内土地平整</w:t>
            </w:r>
            <w:r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  <w:t>“</w:t>
            </w:r>
            <w:r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  <w:t>五通一平</w:t>
            </w:r>
            <w:r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  <w:t>”</w:t>
            </w:r>
          </w:p>
        </w:tc>
      </w:tr>
      <w:tr w:rsidR="00B96FCF" w:rsidRPr="000B082B" w:rsidTr="00F75A68">
        <w:trPr>
          <w:cantSplit/>
          <w:trHeight w:val="397"/>
          <w:jc w:val="center"/>
        </w:trPr>
        <w:tc>
          <w:tcPr>
            <w:tcW w:w="412" w:type="pct"/>
            <w:vAlign w:val="center"/>
          </w:tcPr>
          <w:p w:rsidR="00B96FCF" w:rsidRDefault="00B96FCF" w:rsidP="007E7BA7">
            <w:pPr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二</w:t>
            </w:r>
          </w:p>
        </w:tc>
        <w:tc>
          <w:tcPr>
            <w:tcW w:w="4588" w:type="pct"/>
            <w:vAlign w:val="center"/>
          </w:tcPr>
          <w:p w:rsidR="00B96FCF" w:rsidRDefault="00B96FCF" w:rsidP="007E7BA7">
            <w:pPr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宗地红线外通上水、通下水、通讯、通电、通路，宗地红线内土地平整</w:t>
            </w:r>
            <w:r>
              <w:rPr>
                <w:sz w:val="21"/>
              </w:rPr>
              <w:t>“</w:t>
            </w:r>
            <w:r>
              <w:rPr>
                <w:sz w:val="21"/>
              </w:rPr>
              <w:t>五通一平</w:t>
            </w:r>
            <w:r>
              <w:rPr>
                <w:sz w:val="21"/>
              </w:rPr>
              <w:t>”</w:t>
            </w:r>
          </w:p>
        </w:tc>
      </w:tr>
      <w:tr w:rsidR="00B96FCF" w:rsidRPr="000B082B" w:rsidTr="00F75A68">
        <w:trPr>
          <w:cantSplit/>
          <w:trHeight w:val="397"/>
          <w:jc w:val="center"/>
        </w:trPr>
        <w:tc>
          <w:tcPr>
            <w:tcW w:w="412" w:type="pct"/>
            <w:vAlign w:val="center"/>
          </w:tcPr>
          <w:p w:rsidR="00B96FCF" w:rsidRDefault="00B96FCF" w:rsidP="007E7BA7">
            <w:pPr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三</w:t>
            </w:r>
          </w:p>
        </w:tc>
        <w:tc>
          <w:tcPr>
            <w:tcW w:w="4588" w:type="pct"/>
            <w:vAlign w:val="center"/>
          </w:tcPr>
          <w:p w:rsidR="00B96FCF" w:rsidRDefault="00B96FCF" w:rsidP="007E7BA7">
            <w:pPr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宗地红线外通上水、通下水、通讯、通电、通路，宗地红线内土地平整</w:t>
            </w:r>
            <w:r>
              <w:rPr>
                <w:sz w:val="21"/>
              </w:rPr>
              <w:t>“</w:t>
            </w:r>
            <w:r>
              <w:rPr>
                <w:sz w:val="21"/>
              </w:rPr>
              <w:t>五通一平</w:t>
            </w:r>
            <w:r>
              <w:rPr>
                <w:sz w:val="21"/>
              </w:rPr>
              <w:t>”</w:t>
            </w:r>
          </w:p>
        </w:tc>
      </w:tr>
    </w:tbl>
    <w:p w:rsidR="000B082B" w:rsidRPr="000B082B" w:rsidRDefault="0053063B" w:rsidP="000B082B">
      <w:pPr>
        <w:ind w:firstLine="560"/>
        <w:rPr>
          <w:rFonts w:cs="Times New Roman"/>
        </w:rPr>
      </w:pPr>
      <w:r w:rsidRPr="000B082B">
        <w:rPr>
          <w:rFonts w:cs="Times New Roman" w:hint="eastAsia"/>
          <w:szCs w:val="28"/>
        </w:rPr>
        <w:t>（</w:t>
      </w:r>
      <w:r>
        <w:rPr>
          <w:rFonts w:cs="Times New Roman" w:hint="eastAsia"/>
          <w:szCs w:val="28"/>
        </w:rPr>
        <w:t>四</w:t>
      </w:r>
      <w:r w:rsidRPr="000B082B">
        <w:rPr>
          <w:rFonts w:cs="Times New Roman" w:hint="eastAsia"/>
          <w:szCs w:val="28"/>
        </w:rPr>
        <w:t>）</w:t>
      </w:r>
      <w:r w:rsidR="000B082B" w:rsidRPr="000B082B">
        <w:rPr>
          <w:rFonts w:cs="Times New Roman"/>
        </w:rPr>
        <w:t>平均容积率</w:t>
      </w:r>
    </w:p>
    <w:p w:rsidR="000B082B" w:rsidRPr="000B082B" w:rsidRDefault="000B082B" w:rsidP="000B082B">
      <w:pPr>
        <w:ind w:firstLine="560"/>
        <w:rPr>
          <w:rFonts w:cs="Times New Roman"/>
        </w:rPr>
      </w:pPr>
      <w:r w:rsidRPr="000B082B">
        <w:rPr>
          <w:rFonts w:cs="Times New Roman"/>
        </w:rPr>
        <w:t>根据</w:t>
      </w:r>
      <w:r w:rsidR="00B96FCF">
        <w:rPr>
          <w:rFonts w:cs="Times New Roman" w:hint="eastAsia"/>
        </w:rPr>
        <w:t>洪泽区</w:t>
      </w:r>
      <w:r w:rsidRPr="000B082B">
        <w:rPr>
          <w:rFonts w:cs="Times New Roman"/>
        </w:rPr>
        <w:t>提供的详细规划资料和本次土地估价外业调查资料测算结果，商服、</w:t>
      </w:r>
      <w:r w:rsidRPr="000B082B">
        <w:rPr>
          <w:rFonts w:cs="Times New Roman" w:hint="eastAsia"/>
        </w:rPr>
        <w:t>宅基地</w:t>
      </w:r>
      <w:r w:rsidR="00DF7C37">
        <w:rPr>
          <w:rFonts w:cs="Times New Roman" w:hint="eastAsia"/>
        </w:rPr>
        <w:t>、工业</w:t>
      </w:r>
      <w:r w:rsidRPr="000B082B">
        <w:rPr>
          <w:rFonts w:cs="Times New Roman"/>
        </w:rPr>
        <w:t>各级</w:t>
      </w:r>
      <w:proofErr w:type="gramStart"/>
      <w:r w:rsidRPr="000B082B">
        <w:rPr>
          <w:rFonts w:cs="Times New Roman"/>
        </w:rPr>
        <w:t>别平均</w:t>
      </w:r>
      <w:proofErr w:type="gramEnd"/>
      <w:r w:rsidRPr="000B082B">
        <w:rPr>
          <w:rFonts w:cs="Times New Roman"/>
        </w:rPr>
        <w:t>容积率见表</w:t>
      </w:r>
      <w:r w:rsidRPr="000B082B">
        <w:rPr>
          <w:rFonts w:cs="Times New Roman"/>
        </w:rPr>
        <w:t>2</w:t>
      </w:r>
      <w:r w:rsidRPr="000B082B">
        <w:rPr>
          <w:rFonts w:cs="Times New Roman"/>
        </w:rPr>
        <w:t>。</w:t>
      </w:r>
    </w:p>
    <w:p w:rsidR="000B082B" w:rsidRPr="000B082B" w:rsidRDefault="000B082B" w:rsidP="000B082B">
      <w:pPr>
        <w:keepNext/>
        <w:autoSpaceDE w:val="0"/>
        <w:autoSpaceDN w:val="0"/>
        <w:adjustRightInd w:val="0"/>
        <w:spacing w:beforeLines="30" w:before="93" w:afterLines="30" w:after="93" w:line="240" w:lineRule="atLeast"/>
        <w:ind w:firstLineChars="0" w:firstLine="0"/>
        <w:jc w:val="center"/>
        <w:rPr>
          <w:rFonts w:eastAsia="黑体" w:cs="Times New Roman"/>
          <w:szCs w:val="28"/>
        </w:rPr>
      </w:pPr>
      <w:r w:rsidRPr="000B082B">
        <w:rPr>
          <w:rFonts w:eastAsia="黑体" w:cs="Times New Roman" w:hint="eastAsia"/>
          <w:szCs w:val="28"/>
        </w:rPr>
        <w:t>表</w:t>
      </w:r>
      <w:r w:rsidR="000C0915">
        <w:rPr>
          <w:rFonts w:eastAsia="黑体" w:cs="Times New Roman" w:hint="eastAsia"/>
          <w:szCs w:val="28"/>
        </w:rPr>
        <w:t>2</w:t>
      </w:r>
      <w:r w:rsidRPr="000B082B">
        <w:rPr>
          <w:rFonts w:eastAsia="黑体" w:cs="Times New Roman"/>
          <w:szCs w:val="28"/>
        </w:rPr>
        <w:t xml:space="preserve"> </w:t>
      </w:r>
      <w:r w:rsidRPr="000B082B">
        <w:rPr>
          <w:rFonts w:eastAsia="黑体" w:cs="Times New Roman"/>
          <w:szCs w:val="28"/>
        </w:rPr>
        <w:t>商服用地、</w:t>
      </w:r>
      <w:r w:rsidRPr="000B082B">
        <w:rPr>
          <w:rFonts w:eastAsia="黑体" w:cs="Times New Roman" w:hint="eastAsia"/>
          <w:szCs w:val="28"/>
        </w:rPr>
        <w:t>宅基地</w:t>
      </w:r>
      <w:r w:rsidR="00DF7C37">
        <w:rPr>
          <w:rFonts w:eastAsia="黑体" w:cs="Times New Roman" w:hint="eastAsia"/>
          <w:szCs w:val="28"/>
        </w:rPr>
        <w:t>、工业</w:t>
      </w:r>
      <w:r w:rsidRPr="000B082B">
        <w:rPr>
          <w:rFonts w:eastAsia="黑体" w:cs="Times New Roman"/>
          <w:szCs w:val="28"/>
        </w:rPr>
        <w:t>级别平均容积率表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2006"/>
        <w:gridCol w:w="2557"/>
        <w:gridCol w:w="2557"/>
      </w:tblGrid>
      <w:tr w:rsidR="00DF7C37" w:rsidRPr="000B082B" w:rsidTr="00DF7C37">
        <w:trPr>
          <w:cantSplit/>
          <w:trHeight w:val="397"/>
          <w:tblHeader/>
          <w:jc w:val="center"/>
        </w:trPr>
        <w:tc>
          <w:tcPr>
            <w:tcW w:w="823" w:type="pct"/>
            <w:vAlign w:val="center"/>
          </w:tcPr>
          <w:p w:rsidR="00DF7C37" w:rsidRPr="000B082B" w:rsidRDefault="00DF7C37" w:rsidP="000B082B">
            <w:pPr>
              <w:spacing w:line="240" w:lineRule="exact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0B082B">
              <w:rPr>
                <w:rFonts w:cs="Times New Roman"/>
                <w:b/>
                <w:sz w:val="21"/>
              </w:rPr>
              <w:t>级别</w:t>
            </w:r>
          </w:p>
        </w:tc>
        <w:tc>
          <w:tcPr>
            <w:tcW w:w="1177" w:type="pct"/>
            <w:vAlign w:val="center"/>
          </w:tcPr>
          <w:p w:rsidR="00DF7C37" w:rsidRPr="000B082B" w:rsidRDefault="00DF7C37" w:rsidP="000B082B">
            <w:pPr>
              <w:spacing w:line="240" w:lineRule="exact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0B082B">
              <w:rPr>
                <w:rFonts w:cs="Times New Roman"/>
                <w:b/>
                <w:sz w:val="21"/>
              </w:rPr>
              <w:t>商服用地</w:t>
            </w:r>
          </w:p>
        </w:tc>
        <w:tc>
          <w:tcPr>
            <w:tcW w:w="1500" w:type="pct"/>
            <w:vAlign w:val="center"/>
          </w:tcPr>
          <w:p w:rsidR="00DF7C37" w:rsidRPr="000B082B" w:rsidRDefault="00DF7C37" w:rsidP="000B082B">
            <w:pPr>
              <w:spacing w:line="240" w:lineRule="exact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0B082B">
              <w:rPr>
                <w:rFonts w:cs="Times New Roman" w:hint="eastAsia"/>
                <w:b/>
                <w:sz w:val="21"/>
              </w:rPr>
              <w:t>宅基地</w:t>
            </w:r>
          </w:p>
        </w:tc>
        <w:tc>
          <w:tcPr>
            <w:tcW w:w="1500" w:type="pct"/>
            <w:vAlign w:val="center"/>
          </w:tcPr>
          <w:p w:rsidR="00DF7C37" w:rsidRPr="000B082B" w:rsidRDefault="00DF7C37" w:rsidP="000B082B">
            <w:pPr>
              <w:spacing w:line="240" w:lineRule="exact"/>
              <w:ind w:firstLineChars="0" w:firstLine="0"/>
              <w:jc w:val="center"/>
              <w:rPr>
                <w:rFonts w:cs="Times New Roman" w:hint="eastAsia"/>
                <w:b/>
                <w:sz w:val="21"/>
              </w:rPr>
            </w:pPr>
            <w:r>
              <w:rPr>
                <w:rFonts w:cs="Times New Roman" w:hint="eastAsia"/>
                <w:b/>
                <w:sz w:val="21"/>
              </w:rPr>
              <w:t>工业</w:t>
            </w:r>
          </w:p>
        </w:tc>
      </w:tr>
      <w:tr w:rsidR="00DF7C37" w:rsidRPr="000B082B" w:rsidTr="00DF7C37">
        <w:trPr>
          <w:cantSplit/>
          <w:trHeight w:val="397"/>
          <w:jc w:val="center"/>
        </w:trPr>
        <w:tc>
          <w:tcPr>
            <w:tcW w:w="823" w:type="pct"/>
            <w:vAlign w:val="center"/>
          </w:tcPr>
          <w:p w:rsidR="00DF7C37" w:rsidRDefault="00DF7C37" w:rsidP="007E7BA7">
            <w:pPr>
              <w:pStyle w:val="xl27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exact"/>
              <w:ind w:firstLineChars="0" w:firstLine="0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  <w:t>一</w:t>
            </w:r>
            <w:proofErr w:type="gramEnd"/>
          </w:p>
        </w:tc>
        <w:tc>
          <w:tcPr>
            <w:tcW w:w="1177" w:type="pct"/>
            <w:vAlign w:val="center"/>
          </w:tcPr>
          <w:p w:rsidR="00DF7C37" w:rsidRDefault="00DF7C37" w:rsidP="007E7BA7">
            <w:pPr>
              <w:pStyle w:val="xl27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exact"/>
              <w:ind w:firstLineChars="0" w:firstLine="0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  <w:t>1.1</w:t>
            </w:r>
          </w:p>
        </w:tc>
        <w:tc>
          <w:tcPr>
            <w:tcW w:w="1500" w:type="pct"/>
            <w:vAlign w:val="center"/>
          </w:tcPr>
          <w:p w:rsidR="00DF7C37" w:rsidRDefault="00DF7C37" w:rsidP="007E7BA7">
            <w:pPr>
              <w:pStyle w:val="xl27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exact"/>
              <w:ind w:firstLineChars="0" w:firstLine="0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  <w:t>1.4</w:t>
            </w:r>
          </w:p>
        </w:tc>
        <w:tc>
          <w:tcPr>
            <w:tcW w:w="1500" w:type="pct"/>
            <w:vAlign w:val="center"/>
          </w:tcPr>
          <w:p w:rsidR="00DF7C37" w:rsidRDefault="00DF7C37" w:rsidP="007E7BA7">
            <w:pPr>
              <w:pStyle w:val="xl27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exact"/>
              <w:ind w:firstLineChars="0" w:firstLine="0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</w:rPr>
              <w:t>1.0</w:t>
            </w:r>
          </w:p>
        </w:tc>
      </w:tr>
      <w:tr w:rsidR="00DF7C37" w:rsidRPr="000B082B" w:rsidTr="00DF7C37">
        <w:trPr>
          <w:cantSplit/>
          <w:trHeight w:val="397"/>
          <w:jc w:val="center"/>
        </w:trPr>
        <w:tc>
          <w:tcPr>
            <w:tcW w:w="823" w:type="pct"/>
            <w:vAlign w:val="center"/>
          </w:tcPr>
          <w:p w:rsidR="00DF7C37" w:rsidRDefault="00DF7C37" w:rsidP="007E7BA7">
            <w:pPr>
              <w:pStyle w:val="xl27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exact"/>
              <w:ind w:firstLineChars="0" w:firstLine="0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  <w:t>二</w:t>
            </w:r>
          </w:p>
        </w:tc>
        <w:tc>
          <w:tcPr>
            <w:tcW w:w="1177" w:type="pct"/>
            <w:vAlign w:val="center"/>
          </w:tcPr>
          <w:p w:rsidR="00DF7C37" w:rsidRDefault="00DF7C37" w:rsidP="007E7BA7">
            <w:pPr>
              <w:pStyle w:val="xl27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exact"/>
              <w:ind w:firstLineChars="0" w:firstLine="0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  <w:t>1.0</w:t>
            </w:r>
          </w:p>
        </w:tc>
        <w:tc>
          <w:tcPr>
            <w:tcW w:w="1500" w:type="pct"/>
            <w:vAlign w:val="center"/>
          </w:tcPr>
          <w:p w:rsidR="00DF7C37" w:rsidRDefault="00DF7C37" w:rsidP="007E7BA7">
            <w:pPr>
              <w:pStyle w:val="xl27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exact"/>
              <w:ind w:firstLineChars="0" w:firstLine="0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  <w:t>1.2</w:t>
            </w:r>
          </w:p>
        </w:tc>
        <w:tc>
          <w:tcPr>
            <w:tcW w:w="1500" w:type="pct"/>
            <w:vAlign w:val="center"/>
          </w:tcPr>
          <w:p w:rsidR="00DF7C37" w:rsidRDefault="00DF7C37" w:rsidP="007E7BA7">
            <w:pPr>
              <w:pStyle w:val="xl27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exact"/>
              <w:ind w:firstLineChars="0" w:firstLine="0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</w:rPr>
              <w:t>1.0</w:t>
            </w:r>
          </w:p>
        </w:tc>
      </w:tr>
      <w:tr w:rsidR="00DF7C37" w:rsidRPr="000B082B" w:rsidTr="00DF7C37">
        <w:trPr>
          <w:cantSplit/>
          <w:trHeight w:val="397"/>
          <w:jc w:val="center"/>
        </w:trPr>
        <w:tc>
          <w:tcPr>
            <w:tcW w:w="823" w:type="pct"/>
            <w:vAlign w:val="center"/>
          </w:tcPr>
          <w:p w:rsidR="00DF7C37" w:rsidRDefault="00DF7C37" w:rsidP="007E7BA7">
            <w:pPr>
              <w:pStyle w:val="xl27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exact"/>
              <w:ind w:firstLineChars="0" w:firstLine="0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  <w:t>三</w:t>
            </w:r>
          </w:p>
        </w:tc>
        <w:tc>
          <w:tcPr>
            <w:tcW w:w="1177" w:type="pct"/>
            <w:vAlign w:val="center"/>
          </w:tcPr>
          <w:p w:rsidR="00DF7C37" w:rsidRDefault="00DF7C37" w:rsidP="007E7BA7">
            <w:pPr>
              <w:pStyle w:val="xl27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exact"/>
              <w:ind w:firstLineChars="0" w:firstLine="0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  <w:t>0.9</w:t>
            </w:r>
          </w:p>
        </w:tc>
        <w:tc>
          <w:tcPr>
            <w:tcW w:w="1500" w:type="pct"/>
            <w:vAlign w:val="center"/>
          </w:tcPr>
          <w:p w:rsidR="00DF7C37" w:rsidRDefault="00DF7C37" w:rsidP="007E7BA7">
            <w:pPr>
              <w:pStyle w:val="xl27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exact"/>
              <w:ind w:firstLineChars="0" w:firstLine="0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  <w:t>1.1</w:t>
            </w:r>
          </w:p>
        </w:tc>
        <w:tc>
          <w:tcPr>
            <w:tcW w:w="1500" w:type="pct"/>
            <w:vAlign w:val="center"/>
          </w:tcPr>
          <w:p w:rsidR="00DF7C37" w:rsidRDefault="00DF7C37" w:rsidP="007E7BA7">
            <w:pPr>
              <w:pStyle w:val="xl27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exact"/>
              <w:ind w:firstLineChars="0" w:firstLine="0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</w:rPr>
              <w:t>1.0</w:t>
            </w:r>
          </w:p>
        </w:tc>
      </w:tr>
    </w:tbl>
    <w:p w:rsidR="000B082B" w:rsidRDefault="0053063B" w:rsidP="000C0915">
      <w:pPr>
        <w:ind w:firstLine="560"/>
        <w:rPr>
          <w:rFonts w:cs="Times New Roman"/>
        </w:rPr>
      </w:pPr>
      <w:r w:rsidRPr="000B082B">
        <w:rPr>
          <w:rFonts w:cs="Times New Roman" w:hint="eastAsia"/>
          <w:szCs w:val="28"/>
        </w:rPr>
        <w:t>（</w:t>
      </w:r>
      <w:r>
        <w:rPr>
          <w:rFonts w:cs="Times New Roman" w:hint="eastAsia"/>
          <w:szCs w:val="28"/>
        </w:rPr>
        <w:t>五</w:t>
      </w:r>
      <w:r w:rsidRPr="000B082B">
        <w:rPr>
          <w:rFonts w:cs="Times New Roman" w:hint="eastAsia"/>
          <w:szCs w:val="28"/>
        </w:rPr>
        <w:t>）</w:t>
      </w:r>
      <w:r w:rsidR="000B082B" w:rsidRPr="000B082B">
        <w:rPr>
          <w:rFonts w:cs="Times New Roman"/>
        </w:rPr>
        <w:t>权利状况：完整集体土地使用权市场价格。</w:t>
      </w:r>
    </w:p>
    <w:p w:rsidR="000C0915" w:rsidRPr="000B082B" w:rsidRDefault="000C0915" w:rsidP="000C0915">
      <w:pPr>
        <w:keepNext/>
        <w:keepLines/>
        <w:spacing w:beforeLines="50" w:before="156" w:afterLines="50" w:after="156" w:line="360" w:lineRule="auto"/>
        <w:ind w:firstLineChars="0" w:firstLine="0"/>
        <w:outlineLvl w:val="0"/>
        <w:rPr>
          <w:rFonts w:eastAsia="黑体"/>
          <w:b/>
          <w:bCs/>
          <w:kern w:val="44"/>
          <w:szCs w:val="44"/>
        </w:rPr>
      </w:pPr>
      <w:r>
        <w:rPr>
          <w:rFonts w:eastAsia="黑体" w:hint="eastAsia"/>
          <w:b/>
          <w:bCs/>
          <w:kern w:val="44"/>
          <w:szCs w:val="44"/>
        </w:rPr>
        <w:lastRenderedPageBreak/>
        <w:t>二</w:t>
      </w:r>
      <w:r w:rsidRPr="000B082B">
        <w:rPr>
          <w:rFonts w:eastAsia="黑体" w:hint="eastAsia"/>
          <w:b/>
          <w:bCs/>
          <w:kern w:val="44"/>
          <w:szCs w:val="44"/>
        </w:rPr>
        <w:t>、</w:t>
      </w:r>
      <w:r>
        <w:rPr>
          <w:rFonts w:eastAsia="黑体" w:hint="eastAsia"/>
          <w:b/>
          <w:bCs/>
          <w:kern w:val="44"/>
          <w:szCs w:val="44"/>
        </w:rPr>
        <w:t>级别基准地价</w:t>
      </w:r>
    </w:p>
    <w:p w:rsidR="00BD65C9" w:rsidRDefault="000E253F">
      <w:pPr>
        <w:pStyle w:val="a4"/>
        <w:spacing w:before="156" w:after="156"/>
        <w:ind w:firstLine="560"/>
      </w:pPr>
      <w:r>
        <w:t>表</w:t>
      </w:r>
      <w:r>
        <w:rPr>
          <w:rFonts w:hint="eastAsia"/>
        </w:rPr>
        <w:t>1</w:t>
      </w:r>
      <w:r>
        <w:t xml:space="preserve">  </w:t>
      </w:r>
      <w:r>
        <w:t>商服用地级别基准地价表</w:t>
      </w:r>
    </w:p>
    <w:p w:rsidR="00BD65C9" w:rsidRDefault="000E253F">
      <w:pPr>
        <w:pStyle w:val="a3"/>
        <w:spacing w:line="240" w:lineRule="exact"/>
        <w:jc w:val="right"/>
        <w:rPr>
          <w:rFonts w:ascii="Times New Roman" w:eastAsia="仿宋_GB2312" w:hAnsi="Times New Roman"/>
          <w:sz w:val="21"/>
          <w:szCs w:val="21"/>
          <w:vertAlign w:val="superscript"/>
        </w:rPr>
      </w:pPr>
      <w:r>
        <w:rPr>
          <w:rFonts w:ascii="Times New Roman" w:eastAsia="仿宋_GB2312" w:hAnsi="Times New Roman"/>
          <w:sz w:val="21"/>
          <w:szCs w:val="21"/>
        </w:rPr>
        <w:t>单位：元</w:t>
      </w:r>
      <w:r>
        <w:rPr>
          <w:rFonts w:ascii="Times New Roman" w:eastAsia="仿宋_GB2312" w:hAnsi="Times New Roman"/>
          <w:sz w:val="21"/>
          <w:szCs w:val="21"/>
        </w:rPr>
        <w:t>/ m</w:t>
      </w:r>
      <w:r>
        <w:rPr>
          <w:rFonts w:ascii="Times New Roman" w:eastAsia="仿宋_GB2312" w:hAnsi="Times New Roman"/>
          <w:sz w:val="21"/>
          <w:szCs w:val="21"/>
          <w:vertAlign w:val="superscript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2021"/>
        <w:gridCol w:w="2309"/>
        <w:gridCol w:w="2163"/>
      </w:tblGrid>
      <w:tr w:rsidR="009D52C8" w:rsidTr="009D52C8">
        <w:trPr>
          <w:cantSplit/>
          <w:trHeight w:val="340"/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b/>
                <w:kern w:val="0"/>
                <w:sz w:val="21"/>
              </w:rPr>
            </w:pPr>
            <w:r>
              <w:rPr>
                <w:b/>
                <w:kern w:val="0"/>
                <w:sz w:val="21"/>
              </w:rPr>
              <w:t>土地级别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b/>
                <w:kern w:val="0"/>
                <w:sz w:val="21"/>
              </w:rPr>
            </w:pPr>
            <w:proofErr w:type="gramStart"/>
            <w:r>
              <w:rPr>
                <w:b/>
                <w:kern w:val="0"/>
                <w:sz w:val="21"/>
              </w:rPr>
              <w:t>一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b/>
                <w:kern w:val="0"/>
                <w:sz w:val="21"/>
              </w:rPr>
            </w:pPr>
            <w:r>
              <w:rPr>
                <w:b/>
                <w:kern w:val="0"/>
                <w:sz w:val="21"/>
              </w:rPr>
              <w:t>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b/>
                <w:kern w:val="0"/>
                <w:sz w:val="21"/>
              </w:rPr>
            </w:pPr>
            <w:r>
              <w:rPr>
                <w:b/>
                <w:kern w:val="0"/>
                <w:sz w:val="21"/>
              </w:rPr>
              <w:t>三</w:t>
            </w:r>
          </w:p>
        </w:tc>
      </w:tr>
      <w:tr w:rsidR="009D52C8" w:rsidTr="009D52C8">
        <w:trPr>
          <w:cantSplit/>
          <w:trHeight w:val="340"/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基准地价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1040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740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500</w:t>
            </w:r>
          </w:p>
        </w:tc>
      </w:tr>
      <w:tr w:rsidR="009D52C8" w:rsidTr="009D52C8">
        <w:trPr>
          <w:cantSplit/>
          <w:trHeight w:val="340"/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变</w:t>
            </w:r>
            <w:r>
              <w:rPr>
                <w:kern w:val="0"/>
                <w:sz w:val="21"/>
              </w:rPr>
              <w:t xml:space="preserve">  </w:t>
            </w:r>
            <w:r>
              <w:rPr>
                <w:kern w:val="0"/>
                <w:sz w:val="21"/>
              </w:rPr>
              <w:t>幅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830-1250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590-890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400-600</w:t>
            </w:r>
          </w:p>
        </w:tc>
      </w:tr>
      <w:tr w:rsidR="009D52C8" w:rsidTr="009D52C8">
        <w:trPr>
          <w:cantSplit/>
          <w:trHeight w:val="340"/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容积率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8" w:rsidRDefault="009D52C8" w:rsidP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1.1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1.0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0.9</w:t>
            </w:r>
          </w:p>
        </w:tc>
      </w:tr>
    </w:tbl>
    <w:p w:rsidR="00BD65C9" w:rsidRDefault="000E253F">
      <w:pPr>
        <w:pStyle w:val="a4"/>
        <w:spacing w:before="156" w:after="156"/>
        <w:ind w:firstLine="560"/>
      </w:pPr>
      <w:r>
        <w:t>表</w:t>
      </w:r>
      <w:r>
        <w:rPr>
          <w:rFonts w:hint="eastAsia"/>
        </w:rPr>
        <w:t>2</w:t>
      </w:r>
      <w:r>
        <w:t xml:space="preserve">  </w:t>
      </w:r>
      <w:r>
        <w:rPr>
          <w:rFonts w:hint="eastAsia"/>
        </w:rPr>
        <w:t>宅基地</w:t>
      </w:r>
      <w:r>
        <w:t>级别基准地价表</w:t>
      </w:r>
    </w:p>
    <w:p w:rsidR="00BD65C9" w:rsidRDefault="000E253F">
      <w:pPr>
        <w:pStyle w:val="a3"/>
        <w:spacing w:line="240" w:lineRule="exact"/>
        <w:jc w:val="right"/>
        <w:rPr>
          <w:rFonts w:ascii="Times New Roman" w:eastAsia="仿宋_GB2312" w:hAnsi="Times New Roman"/>
          <w:sz w:val="21"/>
          <w:szCs w:val="21"/>
          <w:vertAlign w:val="superscript"/>
        </w:rPr>
      </w:pPr>
      <w:r>
        <w:rPr>
          <w:rFonts w:ascii="Times New Roman" w:eastAsia="仿宋_GB2312" w:hAnsi="Times New Roman"/>
          <w:sz w:val="21"/>
          <w:szCs w:val="21"/>
        </w:rPr>
        <w:t>单位：元</w:t>
      </w:r>
      <w:r>
        <w:rPr>
          <w:rFonts w:ascii="Times New Roman" w:eastAsia="仿宋_GB2312" w:hAnsi="Times New Roman"/>
          <w:sz w:val="21"/>
          <w:szCs w:val="21"/>
        </w:rPr>
        <w:t>/ m</w:t>
      </w:r>
      <w:r>
        <w:rPr>
          <w:rFonts w:ascii="Times New Roman" w:eastAsia="仿宋_GB2312" w:hAnsi="Times New Roman"/>
          <w:sz w:val="21"/>
          <w:szCs w:val="21"/>
          <w:vertAlign w:val="superscript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950"/>
        <w:gridCol w:w="2345"/>
        <w:gridCol w:w="2122"/>
      </w:tblGrid>
      <w:tr w:rsidR="009D52C8" w:rsidTr="009D52C8">
        <w:trPr>
          <w:cantSplit/>
          <w:trHeight w:val="340"/>
          <w:jc w:val="center"/>
        </w:trPr>
        <w:tc>
          <w:tcPr>
            <w:tcW w:w="1235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b/>
                <w:kern w:val="0"/>
                <w:sz w:val="21"/>
              </w:rPr>
            </w:pPr>
            <w:r>
              <w:rPr>
                <w:b/>
                <w:kern w:val="0"/>
                <w:sz w:val="21"/>
              </w:rPr>
              <w:t>土地级别</w:t>
            </w:r>
          </w:p>
        </w:tc>
        <w:tc>
          <w:tcPr>
            <w:tcW w:w="1144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b/>
                <w:kern w:val="0"/>
                <w:sz w:val="21"/>
              </w:rPr>
            </w:pPr>
            <w:proofErr w:type="gramStart"/>
            <w:r>
              <w:rPr>
                <w:b/>
                <w:kern w:val="0"/>
                <w:sz w:val="21"/>
              </w:rPr>
              <w:t>一</w:t>
            </w:r>
            <w:proofErr w:type="gramEnd"/>
          </w:p>
        </w:tc>
        <w:tc>
          <w:tcPr>
            <w:tcW w:w="1376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b/>
                <w:kern w:val="0"/>
                <w:sz w:val="21"/>
              </w:rPr>
            </w:pPr>
            <w:r>
              <w:rPr>
                <w:b/>
                <w:kern w:val="0"/>
                <w:sz w:val="21"/>
              </w:rPr>
              <w:t>二</w:t>
            </w:r>
          </w:p>
        </w:tc>
        <w:tc>
          <w:tcPr>
            <w:tcW w:w="1245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b/>
                <w:kern w:val="0"/>
                <w:sz w:val="21"/>
              </w:rPr>
            </w:pPr>
            <w:r>
              <w:rPr>
                <w:b/>
                <w:kern w:val="0"/>
                <w:sz w:val="21"/>
              </w:rPr>
              <w:t>三</w:t>
            </w:r>
          </w:p>
        </w:tc>
      </w:tr>
      <w:tr w:rsidR="009D52C8" w:rsidTr="009D52C8">
        <w:trPr>
          <w:cantSplit/>
          <w:trHeight w:val="340"/>
          <w:jc w:val="center"/>
        </w:trPr>
        <w:tc>
          <w:tcPr>
            <w:tcW w:w="1235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基准地价</w:t>
            </w:r>
          </w:p>
        </w:tc>
        <w:tc>
          <w:tcPr>
            <w:tcW w:w="1144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820</w:t>
            </w:r>
          </w:p>
        </w:tc>
        <w:tc>
          <w:tcPr>
            <w:tcW w:w="1376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570</w:t>
            </w:r>
          </w:p>
        </w:tc>
        <w:tc>
          <w:tcPr>
            <w:tcW w:w="1245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400</w:t>
            </w:r>
          </w:p>
        </w:tc>
      </w:tr>
      <w:tr w:rsidR="009D52C8" w:rsidTr="009D52C8">
        <w:trPr>
          <w:cantSplit/>
          <w:trHeight w:val="340"/>
          <w:jc w:val="center"/>
        </w:trPr>
        <w:tc>
          <w:tcPr>
            <w:tcW w:w="1235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变</w:t>
            </w:r>
            <w:r>
              <w:rPr>
                <w:kern w:val="0"/>
                <w:sz w:val="21"/>
              </w:rPr>
              <w:t xml:space="preserve">  </w:t>
            </w:r>
            <w:r>
              <w:rPr>
                <w:kern w:val="0"/>
                <w:sz w:val="21"/>
              </w:rPr>
              <w:t>幅</w:t>
            </w:r>
          </w:p>
        </w:tc>
        <w:tc>
          <w:tcPr>
            <w:tcW w:w="1144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660-980</w:t>
            </w:r>
          </w:p>
        </w:tc>
        <w:tc>
          <w:tcPr>
            <w:tcW w:w="1376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460-680</w:t>
            </w:r>
          </w:p>
        </w:tc>
        <w:tc>
          <w:tcPr>
            <w:tcW w:w="1245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320-480</w:t>
            </w:r>
          </w:p>
        </w:tc>
      </w:tr>
      <w:tr w:rsidR="009D52C8" w:rsidTr="009D52C8">
        <w:trPr>
          <w:cantSplit/>
          <w:trHeight w:val="340"/>
          <w:jc w:val="center"/>
        </w:trPr>
        <w:tc>
          <w:tcPr>
            <w:tcW w:w="1235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容积率</w:t>
            </w:r>
          </w:p>
        </w:tc>
        <w:tc>
          <w:tcPr>
            <w:tcW w:w="1144" w:type="pct"/>
            <w:vAlign w:val="center"/>
          </w:tcPr>
          <w:p w:rsidR="009D52C8" w:rsidRDefault="009D52C8" w:rsidP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1.4</w:t>
            </w:r>
          </w:p>
        </w:tc>
        <w:tc>
          <w:tcPr>
            <w:tcW w:w="1376" w:type="pct"/>
            <w:vAlign w:val="center"/>
          </w:tcPr>
          <w:p w:rsidR="009D52C8" w:rsidRDefault="009D52C8" w:rsidP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1.2</w:t>
            </w:r>
          </w:p>
        </w:tc>
        <w:tc>
          <w:tcPr>
            <w:tcW w:w="1245" w:type="pct"/>
            <w:vAlign w:val="center"/>
          </w:tcPr>
          <w:p w:rsidR="009D52C8" w:rsidRDefault="009D52C8" w:rsidP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1.1</w:t>
            </w:r>
          </w:p>
        </w:tc>
      </w:tr>
    </w:tbl>
    <w:p w:rsidR="00BD65C9" w:rsidRDefault="000E253F">
      <w:pPr>
        <w:pStyle w:val="a4"/>
        <w:spacing w:before="156" w:after="156"/>
        <w:ind w:firstLine="560"/>
      </w:pPr>
      <w:r>
        <w:t>表</w:t>
      </w:r>
      <w:r>
        <w:rPr>
          <w:rFonts w:hint="eastAsia"/>
        </w:rPr>
        <w:t>3</w:t>
      </w:r>
      <w:r>
        <w:t xml:space="preserve">  </w:t>
      </w:r>
      <w:r>
        <w:t>工业用地级别基准地价表</w:t>
      </w:r>
    </w:p>
    <w:p w:rsidR="00BD65C9" w:rsidRDefault="000E253F">
      <w:pPr>
        <w:pStyle w:val="a3"/>
        <w:spacing w:line="240" w:lineRule="exact"/>
        <w:jc w:val="right"/>
        <w:rPr>
          <w:rFonts w:ascii="Times New Roman" w:eastAsia="仿宋_GB2312" w:hAnsi="Times New Roman"/>
          <w:sz w:val="21"/>
          <w:szCs w:val="21"/>
          <w:vertAlign w:val="superscript"/>
        </w:rPr>
      </w:pPr>
      <w:r>
        <w:rPr>
          <w:rFonts w:ascii="Times New Roman" w:eastAsia="仿宋_GB2312" w:hAnsi="Times New Roman"/>
          <w:sz w:val="21"/>
          <w:szCs w:val="21"/>
        </w:rPr>
        <w:t>单位：元</w:t>
      </w:r>
      <w:r>
        <w:rPr>
          <w:rFonts w:ascii="Times New Roman" w:eastAsia="仿宋_GB2312" w:hAnsi="Times New Roman"/>
          <w:sz w:val="21"/>
          <w:szCs w:val="21"/>
        </w:rPr>
        <w:t>/ m</w:t>
      </w:r>
      <w:r>
        <w:rPr>
          <w:rFonts w:ascii="Times New Roman" w:eastAsia="仿宋_GB2312" w:hAnsi="Times New Roman"/>
          <w:sz w:val="21"/>
          <w:szCs w:val="21"/>
          <w:vertAlign w:val="superscript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962"/>
        <w:gridCol w:w="2318"/>
        <w:gridCol w:w="2141"/>
      </w:tblGrid>
      <w:tr w:rsidR="009D52C8" w:rsidTr="009D52C8">
        <w:trPr>
          <w:cantSplit/>
          <w:trHeight w:val="340"/>
          <w:jc w:val="center"/>
        </w:trPr>
        <w:tc>
          <w:tcPr>
            <w:tcW w:w="1233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b/>
                <w:kern w:val="0"/>
                <w:sz w:val="21"/>
              </w:rPr>
            </w:pPr>
            <w:r>
              <w:rPr>
                <w:b/>
                <w:kern w:val="0"/>
                <w:sz w:val="21"/>
              </w:rPr>
              <w:t>土地级别</w:t>
            </w:r>
          </w:p>
        </w:tc>
        <w:tc>
          <w:tcPr>
            <w:tcW w:w="1151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b/>
                <w:kern w:val="0"/>
                <w:sz w:val="21"/>
              </w:rPr>
            </w:pPr>
            <w:proofErr w:type="gramStart"/>
            <w:r>
              <w:rPr>
                <w:b/>
                <w:kern w:val="0"/>
                <w:sz w:val="21"/>
              </w:rPr>
              <w:t>一</w:t>
            </w:r>
            <w:proofErr w:type="gramEnd"/>
          </w:p>
        </w:tc>
        <w:tc>
          <w:tcPr>
            <w:tcW w:w="1360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b/>
                <w:kern w:val="0"/>
                <w:sz w:val="21"/>
              </w:rPr>
            </w:pPr>
            <w:r>
              <w:rPr>
                <w:b/>
                <w:kern w:val="0"/>
                <w:sz w:val="21"/>
              </w:rPr>
              <w:t>二</w:t>
            </w:r>
          </w:p>
        </w:tc>
        <w:tc>
          <w:tcPr>
            <w:tcW w:w="1256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b/>
                <w:kern w:val="0"/>
                <w:sz w:val="21"/>
              </w:rPr>
            </w:pPr>
            <w:r>
              <w:rPr>
                <w:b/>
                <w:kern w:val="0"/>
                <w:sz w:val="21"/>
              </w:rPr>
              <w:t>三</w:t>
            </w:r>
          </w:p>
        </w:tc>
      </w:tr>
      <w:tr w:rsidR="009D52C8" w:rsidTr="009D52C8">
        <w:trPr>
          <w:cantSplit/>
          <w:trHeight w:val="340"/>
          <w:jc w:val="center"/>
        </w:trPr>
        <w:tc>
          <w:tcPr>
            <w:tcW w:w="1233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基准地价</w:t>
            </w:r>
          </w:p>
        </w:tc>
        <w:tc>
          <w:tcPr>
            <w:tcW w:w="1151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170</w:t>
            </w:r>
          </w:p>
        </w:tc>
        <w:tc>
          <w:tcPr>
            <w:tcW w:w="1360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150</w:t>
            </w:r>
          </w:p>
        </w:tc>
        <w:tc>
          <w:tcPr>
            <w:tcW w:w="1256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140</w:t>
            </w:r>
          </w:p>
        </w:tc>
      </w:tr>
      <w:tr w:rsidR="009D52C8" w:rsidTr="009D52C8">
        <w:trPr>
          <w:cantSplit/>
          <w:trHeight w:val="340"/>
          <w:jc w:val="center"/>
        </w:trPr>
        <w:tc>
          <w:tcPr>
            <w:tcW w:w="1233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变</w:t>
            </w:r>
            <w:r>
              <w:rPr>
                <w:kern w:val="0"/>
                <w:sz w:val="21"/>
              </w:rPr>
              <w:t xml:space="preserve">  </w:t>
            </w:r>
            <w:r>
              <w:rPr>
                <w:kern w:val="0"/>
                <w:sz w:val="21"/>
              </w:rPr>
              <w:t>幅</w:t>
            </w:r>
          </w:p>
        </w:tc>
        <w:tc>
          <w:tcPr>
            <w:tcW w:w="1151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160-180</w:t>
            </w:r>
          </w:p>
        </w:tc>
        <w:tc>
          <w:tcPr>
            <w:tcW w:w="1360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140-160</w:t>
            </w:r>
          </w:p>
        </w:tc>
        <w:tc>
          <w:tcPr>
            <w:tcW w:w="1256" w:type="pct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130-150</w:t>
            </w:r>
          </w:p>
        </w:tc>
      </w:tr>
      <w:tr w:rsidR="009D52C8" w:rsidTr="009D52C8">
        <w:trPr>
          <w:cantSplit/>
          <w:trHeight w:val="340"/>
          <w:jc w:val="center"/>
        </w:trPr>
        <w:tc>
          <w:tcPr>
            <w:tcW w:w="1233" w:type="pct"/>
            <w:shd w:val="clear" w:color="auto" w:fill="auto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容积率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1.0</w:t>
            </w:r>
          </w:p>
        </w:tc>
        <w:tc>
          <w:tcPr>
            <w:tcW w:w="1360" w:type="pct"/>
            <w:shd w:val="clear" w:color="auto" w:fill="auto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1.0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9D52C8" w:rsidRDefault="009D52C8">
            <w:pPr>
              <w:widowControl/>
              <w:spacing w:line="240" w:lineRule="exact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1.0</w:t>
            </w:r>
          </w:p>
        </w:tc>
      </w:tr>
    </w:tbl>
    <w:p w:rsidR="008821C3" w:rsidRPr="000B082B" w:rsidRDefault="008821C3" w:rsidP="008821C3">
      <w:pPr>
        <w:keepNext/>
        <w:keepLines/>
        <w:spacing w:beforeLines="50" w:before="156" w:afterLines="50" w:after="156" w:line="360" w:lineRule="auto"/>
        <w:ind w:firstLineChars="0" w:firstLine="0"/>
        <w:outlineLvl w:val="0"/>
        <w:rPr>
          <w:rFonts w:eastAsia="黑体"/>
          <w:b/>
          <w:bCs/>
          <w:kern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D65D39" wp14:editId="7EC31F88">
            <wp:simplePos x="0" y="0"/>
            <wp:positionH relativeFrom="column">
              <wp:posOffset>491779</wp:posOffset>
            </wp:positionH>
            <wp:positionV relativeFrom="paragraph">
              <wp:posOffset>545585</wp:posOffset>
            </wp:positionV>
            <wp:extent cx="4440382" cy="2782739"/>
            <wp:effectExtent l="0" t="0" r="0" b="0"/>
            <wp:wrapNone/>
            <wp:docPr id="1" name="图片 1" descr="洪泽区集体级别图无图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" descr="洪泽区集体级别图无图标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" t="7661" r="1274" b="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382" cy="278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黑体" w:hint="eastAsia"/>
          <w:b/>
          <w:bCs/>
          <w:kern w:val="44"/>
          <w:szCs w:val="44"/>
        </w:rPr>
        <w:t>三</w:t>
      </w:r>
      <w:r w:rsidRPr="000B082B">
        <w:rPr>
          <w:rFonts w:eastAsia="黑体" w:hint="eastAsia"/>
          <w:b/>
          <w:bCs/>
          <w:kern w:val="44"/>
          <w:szCs w:val="44"/>
        </w:rPr>
        <w:t>、</w:t>
      </w:r>
      <w:r>
        <w:rPr>
          <w:rFonts w:eastAsia="黑体" w:hint="eastAsia"/>
          <w:b/>
          <w:bCs/>
          <w:kern w:val="44"/>
          <w:szCs w:val="44"/>
        </w:rPr>
        <w:t>土地级别范围</w:t>
      </w:r>
    </w:p>
    <w:p w:rsidR="008821C3" w:rsidRDefault="008821C3" w:rsidP="00BD65C9">
      <w:pPr>
        <w:ind w:firstLine="560"/>
      </w:pPr>
    </w:p>
    <w:p w:rsidR="008821C3" w:rsidRDefault="008821C3" w:rsidP="00BD65C9">
      <w:pPr>
        <w:ind w:firstLine="560"/>
      </w:pPr>
    </w:p>
    <w:p w:rsidR="008821C3" w:rsidRDefault="008821C3" w:rsidP="00BD65C9">
      <w:pPr>
        <w:ind w:firstLine="560"/>
      </w:pPr>
    </w:p>
    <w:p w:rsidR="008821C3" w:rsidRDefault="008821C3" w:rsidP="00BD65C9">
      <w:pPr>
        <w:ind w:firstLine="560"/>
      </w:pPr>
    </w:p>
    <w:p w:rsidR="008821C3" w:rsidRDefault="008821C3" w:rsidP="00BD65C9">
      <w:pPr>
        <w:ind w:firstLine="560"/>
      </w:pPr>
    </w:p>
    <w:p w:rsidR="008821C3" w:rsidRDefault="008821C3" w:rsidP="00BD65C9">
      <w:pPr>
        <w:ind w:firstLine="560"/>
      </w:pPr>
    </w:p>
    <w:p w:rsidR="008821C3" w:rsidRDefault="008821C3" w:rsidP="00BD65C9">
      <w:pPr>
        <w:ind w:firstLine="560"/>
      </w:pPr>
    </w:p>
    <w:p w:rsidR="008821C3" w:rsidRDefault="008821C3" w:rsidP="00BD65C9">
      <w:pPr>
        <w:ind w:firstLine="560"/>
      </w:pPr>
    </w:p>
    <w:p w:rsidR="008821C3" w:rsidRDefault="008821C3" w:rsidP="00BD65C9">
      <w:pPr>
        <w:ind w:firstLine="560"/>
      </w:pPr>
    </w:p>
    <w:p w:rsidR="00BD65C9" w:rsidRPr="008821C3" w:rsidRDefault="008821C3" w:rsidP="008821C3">
      <w:pPr>
        <w:ind w:firstLineChars="0" w:firstLine="0"/>
        <w:jc w:val="center"/>
        <w:rPr>
          <w:rFonts w:eastAsia="黑体"/>
          <w:szCs w:val="28"/>
        </w:rPr>
      </w:pPr>
      <w:r w:rsidRPr="008821C3">
        <w:rPr>
          <w:rFonts w:eastAsia="黑体" w:hint="eastAsia"/>
          <w:szCs w:val="28"/>
        </w:rPr>
        <w:t>图</w:t>
      </w:r>
      <w:r w:rsidRPr="008821C3">
        <w:rPr>
          <w:rFonts w:eastAsia="黑体" w:hint="eastAsia"/>
          <w:szCs w:val="28"/>
        </w:rPr>
        <w:t>1</w:t>
      </w:r>
      <w:r w:rsidRPr="008821C3">
        <w:rPr>
          <w:rFonts w:eastAsia="黑体"/>
          <w:szCs w:val="28"/>
        </w:rPr>
        <w:t>集体建设用地土地级别图</w:t>
      </w:r>
    </w:p>
    <w:sectPr w:rsidR="00BD65C9" w:rsidRPr="00882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FF" w:rsidRDefault="000B66FF">
      <w:pPr>
        <w:spacing w:line="240" w:lineRule="auto"/>
        <w:ind w:firstLine="560"/>
      </w:pPr>
      <w:r>
        <w:separator/>
      </w:r>
    </w:p>
  </w:endnote>
  <w:endnote w:type="continuationSeparator" w:id="0">
    <w:p w:rsidR="000B66FF" w:rsidRDefault="000B66F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2B" w:rsidRDefault="000B082B" w:rsidP="000B082B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1419"/>
      <w:docPartObj>
        <w:docPartGallery w:val="Page Numbers (Bottom of Page)"/>
        <w:docPartUnique/>
      </w:docPartObj>
    </w:sdtPr>
    <w:sdtContent>
      <w:p w:rsidR="006E5F29" w:rsidRDefault="006E5F29" w:rsidP="006E5F29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5F29">
          <w:rPr>
            <w:noProof/>
            <w:lang w:val="zh-CN"/>
          </w:rPr>
          <w:t>1</w:t>
        </w:r>
        <w:r>
          <w:fldChar w:fldCharType="end"/>
        </w:r>
      </w:p>
    </w:sdtContent>
  </w:sdt>
  <w:p w:rsidR="000B082B" w:rsidRDefault="000B082B" w:rsidP="000B082B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2B" w:rsidRDefault="000B082B" w:rsidP="000B082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FF" w:rsidRDefault="000B66FF">
      <w:pPr>
        <w:spacing w:line="240" w:lineRule="auto"/>
        <w:ind w:firstLine="560"/>
      </w:pPr>
      <w:r>
        <w:separator/>
      </w:r>
    </w:p>
  </w:footnote>
  <w:footnote w:type="continuationSeparator" w:id="0">
    <w:p w:rsidR="000B66FF" w:rsidRDefault="000B66F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2B" w:rsidRDefault="000B082B" w:rsidP="000B082B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2B" w:rsidRDefault="000B082B" w:rsidP="000B082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2B" w:rsidRDefault="000B082B" w:rsidP="000B082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5652E"/>
    <w:rsid w:val="000B082B"/>
    <w:rsid w:val="000B66FF"/>
    <w:rsid w:val="000C0915"/>
    <w:rsid w:val="000E253F"/>
    <w:rsid w:val="001C63CD"/>
    <w:rsid w:val="00306A8D"/>
    <w:rsid w:val="0053063B"/>
    <w:rsid w:val="006E5F29"/>
    <w:rsid w:val="008821C3"/>
    <w:rsid w:val="00970F44"/>
    <w:rsid w:val="009D52C8"/>
    <w:rsid w:val="00B96FCF"/>
    <w:rsid w:val="00BD65C9"/>
    <w:rsid w:val="00DF7C37"/>
    <w:rsid w:val="00FC477B"/>
    <w:rsid w:val="4DC5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80" w:lineRule="exact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pacing w:line="240" w:lineRule="auto"/>
      <w:ind w:firstLineChars="0" w:firstLine="0"/>
    </w:pPr>
    <w:rPr>
      <w:rFonts w:ascii="宋体" w:eastAsia="宋体" w:hAnsi="Courier New"/>
      <w:kern w:val="0"/>
      <w:sz w:val="20"/>
      <w:szCs w:val="20"/>
    </w:rPr>
  </w:style>
  <w:style w:type="paragraph" w:customStyle="1" w:styleId="a4">
    <w:name w:val="表格标题"/>
    <w:basedOn w:val="a"/>
    <w:qFormat/>
    <w:pPr>
      <w:keepNext/>
      <w:autoSpaceDE w:val="0"/>
      <w:autoSpaceDN w:val="0"/>
      <w:adjustRightInd w:val="0"/>
      <w:spacing w:beforeLines="50" w:before="50" w:afterLines="50" w:after="50"/>
      <w:ind w:firstLineChars="0" w:firstLine="0"/>
      <w:jc w:val="center"/>
    </w:pPr>
    <w:rPr>
      <w:rFonts w:eastAsia="黑体"/>
      <w:szCs w:val="28"/>
    </w:rPr>
  </w:style>
  <w:style w:type="paragraph" w:styleId="a5">
    <w:name w:val="header"/>
    <w:basedOn w:val="a"/>
    <w:link w:val="Char"/>
    <w:rsid w:val="000B0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B082B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B08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B082B"/>
    <w:rPr>
      <w:rFonts w:ascii="Times New Roman" w:eastAsia="仿宋_GB2312" w:hAnsi="Times New Roman"/>
      <w:kern w:val="2"/>
      <w:sz w:val="18"/>
      <w:szCs w:val="18"/>
    </w:rPr>
  </w:style>
  <w:style w:type="paragraph" w:customStyle="1" w:styleId="xl27">
    <w:name w:val="xl27"/>
    <w:basedOn w:val="a"/>
    <w:rsid w:val="00B96FC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简体" w:eastAsia="方正楷体简体" w:hAnsi="宋体" w:cs="方正楷体简体"/>
      <w:color w:val="000000"/>
      <w:kern w:val="0"/>
    </w:rPr>
  </w:style>
  <w:style w:type="paragraph" w:styleId="a7">
    <w:name w:val="Balloon Text"/>
    <w:basedOn w:val="a"/>
    <w:link w:val="Char1"/>
    <w:rsid w:val="008821C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8821C3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80" w:lineRule="exact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pacing w:line="240" w:lineRule="auto"/>
      <w:ind w:firstLineChars="0" w:firstLine="0"/>
    </w:pPr>
    <w:rPr>
      <w:rFonts w:ascii="宋体" w:eastAsia="宋体" w:hAnsi="Courier New"/>
      <w:kern w:val="0"/>
      <w:sz w:val="20"/>
      <w:szCs w:val="20"/>
    </w:rPr>
  </w:style>
  <w:style w:type="paragraph" w:customStyle="1" w:styleId="a4">
    <w:name w:val="表格标题"/>
    <w:basedOn w:val="a"/>
    <w:qFormat/>
    <w:pPr>
      <w:keepNext/>
      <w:autoSpaceDE w:val="0"/>
      <w:autoSpaceDN w:val="0"/>
      <w:adjustRightInd w:val="0"/>
      <w:spacing w:beforeLines="50" w:before="50" w:afterLines="50" w:after="50"/>
      <w:ind w:firstLineChars="0" w:firstLine="0"/>
      <w:jc w:val="center"/>
    </w:pPr>
    <w:rPr>
      <w:rFonts w:eastAsia="黑体"/>
      <w:szCs w:val="28"/>
    </w:rPr>
  </w:style>
  <w:style w:type="paragraph" w:styleId="a5">
    <w:name w:val="header"/>
    <w:basedOn w:val="a"/>
    <w:link w:val="Char"/>
    <w:rsid w:val="000B0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B082B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B08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B082B"/>
    <w:rPr>
      <w:rFonts w:ascii="Times New Roman" w:eastAsia="仿宋_GB2312" w:hAnsi="Times New Roman"/>
      <w:kern w:val="2"/>
      <w:sz w:val="18"/>
      <w:szCs w:val="18"/>
    </w:rPr>
  </w:style>
  <w:style w:type="paragraph" w:customStyle="1" w:styleId="xl27">
    <w:name w:val="xl27"/>
    <w:basedOn w:val="a"/>
    <w:rsid w:val="00B96FC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简体" w:eastAsia="方正楷体简体" w:hAnsi="宋体" w:cs="方正楷体简体"/>
      <w:color w:val="000000"/>
      <w:kern w:val="0"/>
    </w:rPr>
  </w:style>
  <w:style w:type="paragraph" w:styleId="a7">
    <w:name w:val="Balloon Text"/>
    <w:basedOn w:val="a"/>
    <w:link w:val="Char1"/>
    <w:rsid w:val="008821C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8821C3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133</Words>
  <Characters>760</Characters>
  <Application>Microsoft Office Word</Application>
  <DocSecurity>0</DocSecurity>
  <Lines>6</Lines>
  <Paragraphs>1</Paragraphs>
  <ScaleCrop>false</ScaleCrop>
  <Company>china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User</cp:lastModifiedBy>
  <cp:revision>6</cp:revision>
  <dcterms:created xsi:type="dcterms:W3CDTF">2022-01-10T07:40:00Z</dcterms:created>
  <dcterms:modified xsi:type="dcterms:W3CDTF">2022-03-10T08:02:00Z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60BA9A508CC04EB887129BB358A45AAF</vt:lpwstr>
  </property>
</Properties>
</file>