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2020年1-4季度综合统计数据</w:t>
      </w:r>
      <w:r>
        <w:rPr>
          <w:rFonts w:hint="eastAsia" w:ascii="方正仿宋_GBK" w:eastAsia="方正仿宋_GBK"/>
          <w:sz w:val="32"/>
          <w:szCs w:val="32"/>
        </w:rPr>
        <w:br w:type="textWrapping"/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>2020年1-3月，洪泽区经营性用地成交1宗，面积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方正仿宋_GBK" w:eastAsia="方正仿宋_GBK"/>
          <w:sz w:val="32"/>
          <w:szCs w:val="32"/>
        </w:rPr>
        <w:t>1620</w:t>
      </w:r>
      <w:r>
        <w:rPr>
          <w:rFonts w:hint="eastAsia" w:ascii="方正仿宋_GBK" w:eastAsia="方正仿宋_GBK"/>
          <w:sz w:val="32"/>
          <w:szCs w:val="32"/>
        </w:rPr>
        <w:t>公顷。洪泽区工业用地成交1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宗，面积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60.7467</w:t>
      </w:r>
      <w:r>
        <w:rPr>
          <w:rFonts w:hint="eastAsia" w:ascii="方正仿宋_GBK" w:eastAsia="方正仿宋_GBK"/>
          <w:sz w:val="32"/>
          <w:szCs w:val="32"/>
        </w:rPr>
        <w:t>公顷。</w:t>
      </w:r>
      <w:r>
        <w:rPr>
          <w:rFonts w:hint="eastAsia" w:eastAsia="方正仿宋_GBK"/>
          <w:sz w:val="32"/>
          <w:szCs w:val="32"/>
        </w:rPr>
        <w:t>    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2020年4-6月，洪泽区经营性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宗，面积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43.7670</w:t>
      </w:r>
      <w:r>
        <w:rPr>
          <w:rFonts w:hint="eastAsia" w:ascii="方正仿宋_GBK" w:eastAsia="方正仿宋_GBK"/>
          <w:sz w:val="32"/>
          <w:szCs w:val="32"/>
        </w:rPr>
        <w:t>公顷，其中商业住宅2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1.5346</w:t>
      </w:r>
      <w:r>
        <w:rPr>
          <w:rFonts w:hint="eastAsia" w:ascii="方正仿宋_GBK" w:eastAsia="方正仿宋_GBK"/>
          <w:sz w:val="32"/>
          <w:szCs w:val="32"/>
        </w:rPr>
        <w:t>公顷。洪泽区工业用地成交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宗，面积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34.7140</w:t>
      </w:r>
      <w:r>
        <w:rPr>
          <w:rFonts w:hint="eastAsia" w:ascii="方正仿宋_GBK" w:eastAsia="方正仿宋_GBK"/>
          <w:sz w:val="32"/>
          <w:szCs w:val="32"/>
        </w:rPr>
        <w:t>公顷。</w:t>
      </w:r>
      <w:r>
        <w:rPr>
          <w:rFonts w:hint="eastAsia" w:eastAsia="方正仿宋_GBK"/>
          <w:sz w:val="32"/>
          <w:szCs w:val="32"/>
        </w:rPr>
        <w:t>  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 </w:t>
      </w:r>
      <w:r>
        <w:rPr>
          <w:rFonts w:hint="eastAsia" w:ascii="方正仿宋_GBK" w:eastAsia="方正仿宋_GBK"/>
          <w:sz w:val="32"/>
          <w:szCs w:val="32"/>
        </w:rPr>
        <w:t>2020年7-9月，洪泽区经营性用地成交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宗，面积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12.1063</w:t>
      </w:r>
      <w:r>
        <w:rPr>
          <w:rFonts w:hint="eastAsia" w:ascii="方正仿宋_GBK" w:eastAsia="方正仿宋_GBK"/>
          <w:sz w:val="32"/>
          <w:szCs w:val="32"/>
        </w:rPr>
        <w:t>公顷，其中商业住宅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10.8935</w:t>
      </w:r>
      <w:r>
        <w:rPr>
          <w:rFonts w:hint="eastAsia" w:ascii="方正仿宋_GBK" w:eastAsia="方正仿宋_GBK"/>
          <w:sz w:val="32"/>
          <w:szCs w:val="32"/>
        </w:rPr>
        <w:t>公顷。洪泽区工业用地成交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宗，面积8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3812公顷。</w:t>
      </w:r>
      <w:r>
        <w:rPr>
          <w:rFonts w:hint="eastAsia" w:eastAsia="方正仿宋_GBK"/>
          <w:sz w:val="32"/>
          <w:szCs w:val="32"/>
        </w:rPr>
        <w:t>   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>2020年10-12月，洪泽区经营性用地成交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宗，面积3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2182公顷，其中商业住宅3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2182公顷。洪泽区工业用地成交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宗，面积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0.</w:t>
      </w:r>
      <w:r>
        <w:rPr>
          <w:rFonts w:hint="eastAsia" w:ascii="方正仿宋_GBK" w:eastAsia="方正仿宋_GBK"/>
          <w:sz w:val="32"/>
          <w:szCs w:val="32"/>
        </w:rPr>
        <w:t>6128公顷。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BCC"/>
    <w:rsid w:val="00033BCC"/>
    <w:rsid w:val="00331F82"/>
    <w:rsid w:val="3B184F59"/>
    <w:rsid w:val="5C4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2021-01-21T02:05:00Z</dcterms:created>
  <dc:creator>微软用户</dc:creator>
  <cp:lastModifiedBy>Administrator</cp:lastModifiedBy>
  <dcterms:modified xsi:type="dcterms:W3CDTF">2021-01-21T02:23:32Z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