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406D1">
      <w:pPr>
        <w:spacing w:line="600" w:lineRule="exact"/>
        <w:ind w:firstLine="880" w:firstLineChars="200"/>
        <w:jc w:val="center"/>
        <w:rPr>
          <w:rFonts w:ascii="Times New Roman" w:hAnsi="Times New Roman" w:eastAsia="方正小标宋_GBK" w:cs="Times New Roman"/>
          <w:sz w:val="44"/>
          <w:szCs w:val="44"/>
        </w:rPr>
      </w:pPr>
    </w:p>
    <w:p w14:paraId="3A06612F">
      <w:pPr>
        <w:spacing w:line="600" w:lineRule="exact"/>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淮安市自然资源和规划局洪泽分局 2020年综合统计分析报告</w:t>
      </w:r>
    </w:p>
    <w:p w14:paraId="21CB1913">
      <w:pPr>
        <w:spacing w:line="600" w:lineRule="exact"/>
        <w:ind w:firstLine="720" w:firstLineChars="200"/>
        <w:rPr>
          <w:rFonts w:ascii="Times New Roman" w:hAnsi="Times New Roman" w:eastAsia="方正仿宋_GBK" w:cs="Times New Roman"/>
          <w:sz w:val="36"/>
          <w:szCs w:val="36"/>
        </w:rPr>
      </w:pPr>
      <w:r>
        <w:rPr>
          <w:rFonts w:hint="eastAsia" w:ascii="Times New Roman" w:hAnsi="Times New Roman" w:eastAsia="方正仿宋_GBK" w:cs="Times New Roman"/>
          <w:sz w:val="36"/>
          <w:szCs w:val="36"/>
        </w:rPr>
        <w:t>洪泽分局</w:t>
      </w:r>
      <w:r>
        <w:rPr>
          <w:rFonts w:ascii="Times New Roman" w:hAnsi="Times New Roman" w:eastAsia="方正仿宋_GBK" w:cs="Times New Roman"/>
          <w:sz w:val="36"/>
          <w:szCs w:val="36"/>
        </w:rPr>
        <w:t>以习近平新时代中国特色社会主义思想为指导，深入学习党的十九大、十九届二中三中四中全会精神，认真贯彻落实省厅和市局相关工作要求，全面落实区委区政府工作部署，深入贯彻新发展理念和自然资源治理体系、治理能力现代化建设，不断推进优空间、护资源、促集约，全力精准施策、全面从严管理，统筹做好疫情防控和自然资源管理工作，奋力开创自然资源事业高质量发展新局面。</w:t>
      </w:r>
    </w:p>
    <w:p w14:paraId="078DAEF2">
      <w:pPr>
        <w:spacing w:line="590" w:lineRule="exact"/>
        <w:ind w:firstLine="723" w:firstLineChars="200"/>
        <w:jc w:val="left"/>
        <w:rPr>
          <w:rFonts w:ascii="Times New Roman" w:hAnsi="Times New Roman" w:eastAsia="方正楷体_GBK" w:cs="Times New Roman"/>
          <w:b/>
          <w:sz w:val="36"/>
          <w:szCs w:val="36"/>
        </w:rPr>
      </w:pPr>
      <w:r>
        <w:rPr>
          <w:rFonts w:ascii="Times New Roman" w:hAnsi="Times New Roman" w:eastAsia="方正楷体_GBK" w:cs="Times New Roman"/>
          <w:b/>
          <w:sz w:val="36"/>
          <w:szCs w:val="36"/>
        </w:rPr>
        <w:t>（一）强化机关作风建设，全力推动自然先锋落在实处</w:t>
      </w:r>
    </w:p>
    <w:p w14:paraId="617D2080">
      <w:pPr>
        <w:spacing w:line="590" w:lineRule="exact"/>
        <w:ind w:firstLine="720" w:firstLineChars="200"/>
        <w:jc w:val="left"/>
        <w:rPr>
          <w:rFonts w:ascii="Times New Roman" w:hAnsi="Times New Roman" w:eastAsia="方正仿宋_GBK" w:cs="Times New Roman"/>
          <w:sz w:val="36"/>
          <w:szCs w:val="36"/>
        </w:rPr>
      </w:pPr>
      <w:r>
        <w:rPr>
          <w:rFonts w:ascii="Times New Roman" w:hAnsi="Times New Roman" w:eastAsia="方正仿宋_GBK" w:cs="Times New Roman"/>
          <w:sz w:val="36"/>
          <w:szCs w:val="36"/>
        </w:rPr>
        <w:t>进一步弘扬担当尽责、真抓实干的工作作风，持续加强能力建设，持续升级、不断扩容学习和工作能力，严格落实中央八项规定精神，持之以恒纠正“四风”。</w:t>
      </w:r>
    </w:p>
    <w:p w14:paraId="1854BD3F">
      <w:pPr>
        <w:spacing w:line="590" w:lineRule="exact"/>
        <w:ind w:firstLine="720" w:firstLineChars="200"/>
        <w:jc w:val="left"/>
        <w:rPr>
          <w:rFonts w:ascii="Times New Roman" w:hAnsi="Times New Roman" w:eastAsia="方正仿宋_GBK" w:cs="Times New Roman"/>
          <w:sz w:val="36"/>
          <w:szCs w:val="36"/>
        </w:rPr>
      </w:pPr>
      <w:r>
        <w:rPr>
          <w:rFonts w:ascii="Times New Roman" w:hAnsi="Times New Roman" w:eastAsia="方正黑体_GBK" w:cs="Times New Roman"/>
          <w:sz w:val="36"/>
          <w:szCs w:val="36"/>
        </w:rPr>
        <w:t>一是要完成自然资源业务流程再造。</w:t>
      </w:r>
      <w:r>
        <w:rPr>
          <w:rFonts w:ascii="Times New Roman" w:hAnsi="Times New Roman" w:eastAsia="方正仿宋_GBK" w:cs="Times New Roman"/>
          <w:sz w:val="36"/>
          <w:szCs w:val="36"/>
        </w:rPr>
        <w:t>全面整理、归纳全流程业务，各业务股室要对各自业务流程进行细化、分解，对涉及到部门之间责任认定、会签会商的，要明确到人、责任到人，确保各项工作规范化、科学化运行，保持工作畅通、数据流通、业务贯通、责任联通。</w:t>
      </w:r>
    </w:p>
    <w:p w14:paraId="05ECDF33">
      <w:pPr>
        <w:spacing w:line="590"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二是要严格落实督查督办制度。</w:t>
      </w:r>
      <w:r>
        <w:rPr>
          <w:rFonts w:ascii="Times New Roman" w:hAnsi="Times New Roman" w:eastAsia="方正仿宋_GBK" w:cs="Times New Roman"/>
          <w:sz w:val="36"/>
          <w:szCs w:val="36"/>
        </w:rPr>
        <w:t>对上对外行文、汇报、商函、会议反馈等办理情况从严管理、规范操作；要继续加大督办通报力度，特别是对反馈不及时、汇报不主动等情况，要从严从重处理，从细节上抓牢精细管理的方方面面。紧盯不敬畏、不在乎、不落实、喊口号、装样子等问题，要对照省厅、市局下发的问题清单，坚决整治各种形式的官僚主义、形式主义，推进自然资源系统风清气正的政治态势形成。</w:t>
      </w:r>
    </w:p>
    <w:p w14:paraId="6B3B5BAD">
      <w:pPr>
        <w:spacing w:line="590" w:lineRule="exact"/>
        <w:ind w:firstLine="720" w:firstLineChars="200"/>
        <w:jc w:val="left"/>
        <w:rPr>
          <w:rFonts w:ascii="Times New Roman" w:hAnsi="Times New Roman" w:eastAsia="方正仿宋_GBK" w:cs="Times New Roman"/>
          <w:sz w:val="36"/>
          <w:szCs w:val="36"/>
        </w:rPr>
      </w:pPr>
      <w:r>
        <w:rPr>
          <w:rFonts w:ascii="Times New Roman" w:hAnsi="Times New Roman" w:eastAsia="方正黑体_GBK" w:cs="Times New Roman"/>
          <w:sz w:val="36"/>
          <w:szCs w:val="36"/>
        </w:rPr>
        <w:t>三是要落实重大项目服务帮办制度。</w:t>
      </w:r>
      <w:r>
        <w:rPr>
          <w:rFonts w:ascii="Times New Roman" w:hAnsi="Times New Roman" w:eastAsia="方正仿宋_GBK" w:cs="Times New Roman"/>
          <w:sz w:val="36"/>
          <w:szCs w:val="36"/>
        </w:rPr>
        <w:t>坚持“项目为王”理念，一切围绕项目转、一切围绕项目干，创新“一企一档”管理和应用，继续打造自然资源服务品牌、党建名牌，为华强方特复兴之路、洪泽湖生态示范区等重大项目、片区提供调、征、供、融一体化服务，推进自然资源系统干事创业的工作氛围形成。</w:t>
      </w:r>
    </w:p>
    <w:p w14:paraId="5F38E5DF">
      <w:pPr>
        <w:spacing w:line="560"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四是要全面落实八项规定。</w:t>
      </w:r>
      <w:r>
        <w:rPr>
          <w:rFonts w:ascii="Times New Roman" w:hAnsi="Times New Roman" w:eastAsia="方正仿宋_GBK" w:cs="Times New Roman"/>
          <w:sz w:val="36"/>
          <w:szCs w:val="36"/>
        </w:rPr>
        <w:t>持之以恒落实好八项规定，加强落实八项规定《实施细则》、省委《具体办法》和省厅党组《具体精神》的督促检查，坚定不移纠“四风”、树新风，巩固好“清风自然”建设成效。要进一步强化日常监督，认真查处和严肃问责破坏制度的问题，切实推进制度的严肃性和权威性。要严格执行值班值守、重大事项请示报告、请销假制度、日常考勤、会议纪律等办公制度，推进作风建设持续向好。要加大作风建设明查暗访力度，每季度通报曝光1次作风建设情况，以有效问责强化制度执行。</w:t>
      </w:r>
    </w:p>
    <w:p w14:paraId="24D776C0">
      <w:pPr>
        <w:spacing w:line="590" w:lineRule="exact"/>
        <w:ind w:firstLine="720" w:firstLineChars="200"/>
        <w:rPr>
          <w:rFonts w:ascii="Times New Roman" w:hAnsi="Times New Roman" w:eastAsia="方正仿宋_GBK" w:cs="Times New Roman"/>
          <w:sz w:val="36"/>
          <w:szCs w:val="36"/>
        </w:rPr>
      </w:pPr>
      <w:r>
        <w:rPr>
          <w:rFonts w:ascii="Times New Roman" w:hAnsi="Times New Roman" w:eastAsia="方正仿宋_GBK" w:cs="Times New Roman"/>
          <w:sz w:val="36"/>
          <w:szCs w:val="36"/>
        </w:rPr>
        <w:t>监察室、办公室要加大督查、督促力度，从领导班子到普通工作人员，任何人不搞特殊、不搞特权、一视同仁，发现问题及时、分类、从严处理，要形成定责、督责、述责、考责、问责“五位一体”的责任链条，达到“一根竿子插到底、不见效果不收兵”的成效，把自然资源系统锻造成“忠诚担当、作风一流”的坚强队伍。</w:t>
      </w:r>
    </w:p>
    <w:p w14:paraId="78F37C50">
      <w:pPr>
        <w:widowControl/>
        <w:spacing w:line="590" w:lineRule="exact"/>
        <w:ind w:firstLine="723" w:firstLineChars="200"/>
        <w:jc w:val="left"/>
        <w:rPr>
          <w:rFonts w:ascii="Times New Roman" w:hAnsi="Times New Roman" w:eastAsia="方正楷体_GBK" w:cs="Times New Roman"/>
          <w:b/>
          <w:sz w:val="36"/>
          <w:szCs w:val="36"/>
        </w:rPr>
      </w:pPr>
      <w:r>
        <w:rPr>
          <w:rFonts w:ascii="Times New Roman" w:hAnsi="Times New Roman" w:eastAsia="方正楷体_GBK" w:cs="Times New Roman"/>
          <w:b/>
          <w:sz w:val="36"/>
          <w:szCs w:val="36"/>
        </w:rPr>
        <w:t>（二）强化服务能力提升，全力推动产业强区提质增效</w:t>
      </w:r>
    </w:p>
    <w:p w14:paraId="2FF4FDBA">
      <w:pPr>
        <w:widowControl/>
        <w:spacing w:line="590" w:lineRule="exact"/>
        <w:ind w:firstLine="720" w:firstLineChars="200"/>
        <w:jc w:val="left"/>
        <w:rPr>
          <w:rFonts w:ascii="Times New Roman" w:hAnsi="Times New Roman" w:eastAsia="方正仿宋_GBK" w:cs="Times New Roman"/>
          <w:sz w:val="36"/>
          <w:szCs w:val="36"/>
        </w:rPr>
      </w:pPr>
      <w:r>
        <w:rPr>
          <w:rFonts w:ascii="Times New Roman" w:hAnsi="Times New Roman" w:eastAsia="方正仿宋_GBK" w:cs="Times New Roman"/>
          <w:sz w:val="36"/>
          <w:szCs w:val="36"/>
        </w:rPr>
        <w:t>要继续发扬“钉钉子”精神，在项目服务上主动入位扛责任、精准施策补短板，更加关注和加力推进企业复产达产、更加关注重大项目建设，为洪泽产业升级、结构优化提供优质服务。</w:t>
      </w:r>
    </w:p>
    <w:p w14:paraId="64B69B5D">
      <w:pPr>
        <w:spacing w:line="590" w:lineRule="exact"/>
        <w:ind w:firstLine="723" w:firstLineChars="200"/>
        <w:rPr>
          <w:rFonts w:ascii="Times New Roman" w:hAnsi="Times New Roman" w:eastAsia="方正仿宋_GBK" w:cs="Times New Roman"/>
          <w:sz w:val="36"/>
          <w:szCs w:val="36"/>
        </w:rPr>
      </w:pPr>
      <w:r>
        <w:rPr>
          <w:rFonts w:ascii="Times New Roman" w:hAnsi="Times New Roman" w:eastAsia="方正黑体_GBK" w:cs="Times New Roman"/>
          <w:b/>
          <w:sz w:val="36"/>
          <w:szCs w:val="36"/>
        </w:rPr>
        <w:t>1.</w:t>
      </w:r>
      <w:r>
        <w:rPr>
          <w:rFonts w:ascii="Times New Roman" w:hAnsi="Times New Roman" w:eastAsia="方正黑体_GBK" w:cs="Times New Roman"/>
          <w:sz w:val="36"/>
          <w:szCs w:val="36"/>
        </w:rPr>
        <w:t>精准保障各类重大项目用地。</w:t>
      </w:r>
      <w:r>
        <w:rPr>
          <w:rFonts w:ascii="Times New Roman" w:hAnsi="Times New Roman" w:eastAsia="方正仿宋_GBK" w:cs="Times New Roman"/>
          <w:sz w:val="36"/>
          <w:szCs w:val="36"/>
        </w:rPr>
        <w:t>认真落实好区委区政府战略部署，优先保障市级以上重大基础设施、先进制造业、战略性新兴产业、现代服务业的合理用地需求，倾斜支持民生、科技创新、文化创意项目用地和新产业用地。加强用地计划指标管控，加快土地批后供应进度，完善产业用地差别化供应政策。加大对蒋坝文旅小镇建设和农房改善用地的支持力度。各相关科室要准确掌握申报材料、指标安排、批次批件的流转程序，安排专人跟进服务，解决项目报批、出让过程中出现的技术性问题。</w:t>
      </w:r>
    </w:p>
    <w:p w14:paraId="4C7333F9">
      <w:pPr>
        <w:spacing w:line="590"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2.突出抓好三项试点工作推进。</w:t>
      </w:r>
      <w:r>
        <w:rPr>
          <w:rFonts w:ascii="Times New Roman" w:hAnsi="Times New Roman" w:eastAsia="方正仿宋_GBK" w:cs="Times New Roman"/>
          <w:sz w:val="36"/>
          <w:szCs w:val="36"/>
        </w:rPr>
        <w:t>一是持续推进建设用地“双减量”试点，结合农民群众住房条件改善工作，按照选点择优、维护农民长久利益的原则，按计划分步实施，同时要紧盯中期评估成果应用，争取政策支持；二是全力争创全域土地综合整治省级试点，科学编报项目规划方案，选择利于产业布局、项目落地、规模发展的重点区域，加大向上争取力度，力争今年有1个项目列入省部级试点；三是重点做好农村集体经营性建设用地入市洪泽试点，学习先进地区的做法，探索制定好兼顾政府、集体和农民三方利益的处置方案，推动盘活农民集体经营性建设用地存量资产。</w:t>
      </w:r>
    </w:p>
    <w:p w14:paraId="7A9DB497">
      <w:pPr>
        <w:spacing w:line="590"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3.重点落实国土空间规划管控。</w:t>
      </w:r>
      <w:r>
        <w:rPr>
          <w:rFonts w:ascii="Times New Roman" w:hAnsi="Times New Roman" w:eastAsia="方正仿宋_GBK" w:cs="Times New Roman"/>
          <w:sz w:val="36"/>
          <w:szCs w:val="36"/>
        </w:rPr>
        <w:t>一是坚持“多规合一”，积极配合开展市级国土空间规划编制工作，适时启动区级国土空间规划编制，积极推进镇级国土空间规划编制；二是高质量完成土地利用总体规划修改，落实创新、协调、绿色、开放、共享的发展理念，推动产业结构升级；三是完成洪泽湖生态文旅经济区规划编制，加快提升方特项目配套服务能力提升；四是开展控规调整和更新汇编，完成高铁小镇、洪新河沿线、浔河两岸等重点片区的规划编制及调整、调查等工作；五是强化城市设计和历史建筑保护，做好城市总体设计与国土空间规划的衔接，加强我区各类历史文化遗存的保护，继续开展历史建筑更新、上报工作；六是按照省市“十四五”规划编制要求，研究提出规划主要指标和重大工程项目、政策、改革举措等，配合开展区级“十四五”规划编制。</w:t>
      </w:r>
    </w:p>
    <w:p w14:paraId="0F25FC98">
      <w:pPr>
        <w:spacing w:line="590"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4.大力推进资源节约集约利用。</w:t>
      </w:r>
      <w:r>
        <w:rPr>
          <w:rFonts w:ascii="Times New Roman" w:hAnsi="Times New Roman" w:eastAsia="方正仿宋_GBK" w:cs="Times New Roman"/>
          <w:sz w:val="36"/>
          <w:szCs w:val="36"/>
        </w:rPr>
        <w:t>一是要全力做好节约集约先进区创建工作，定责、定人、定时、定效，加大与上级相关部门的沟通协调力度，确保创建取得实效。二是要扎实开展“增存挂钩”，更大力度推进批而未供、闲置土地处置和低效用地再开发，努力推动单位GDP建设用地使用面积同比下降；三是要继续提升土地市场经营管理能力，继续推进网上招拍挂，加强土地市场宏观分析，保持土地市场平稳发展，同时要落实国有建设用地供应计划，对已征未供的土地有计划、分类别组织挂牌出让，确保供地率；四是要全面实施建设用地批后监管，结合江苏省建设用地全程跟踪管理系统数据的动态维护，实行项目用地动态监测。</w:t>
      </w:r>
    </w:p>
    <w:p w14:paraId="3F5810E3">
      <w:pPr>
        <w:spacing w:line="560"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5.重点推进国土空间生态保护。</w:t>
      </w:r>
      <w:r>
        <w:rPr>
          <w:rFonts w:ascii="Times New Roman" w:hAnsi="Times New Roman" w:eastAsia="方正仿宋_GBK" w:cs="Times New Roman"/>
          <w:sz w:val="36"/>
          <w:szCs w:val="36"/>
        </w:rPr>
        <w:t>坚持尊重自然、顺应自然、保护自然，推进山水林田湖草等自然资源整体保护、系统修复和综合治理。一是扎实开展自然资源调查评价和确权登记，加快推进“三调”，要认真贯彻落实省、市工作部署，牢牢把握住“345”三个时间节点，既要向前看、也要向后看，确保按时完成任务；二是全面做好洪泽湖东部湿地自然保护区整改销号、规划修改，完成自然保护地整合优化调整和生态保护红线评估调整成果工作，结合生态红线、永久基本农田、城镇边界线“三条红线”布局，进一步优化自然生态环境，全力做好2020年卫片整改销号；三是科学编制矿产资源规划，合理确定矿产资源开发利用布局、开采总量、指标任务和改革举措，完成经济开发区地质灾害危险性评估。</w:t>
      </w:r>
    </w:p>
    <w:p w14:paraId="308C9AC0">
      <w:pPr>
        <w:pStyle w:val="8"/>
        <w:spacing w:line="590" w:lineRule="exact"/>
        <w:ind w:firstLine="705" w:firstLineChars="196"/>
        <w:rPr>
          <w:rFonts w:ascii="Times New Roman" w:hAnsi="Times New Roman" w:eastAsia="方正仿宋_GBK" w:cs="Times New Roman"/>
          <w:kern w:val="2"/>
          <w:sz w:val="36"/>
          <w:szCs w:val="36"/>
        </w:rPr>
      </w:pPr>
      <w:r>
        <w:rPr>
          <w:rFonts w:ascii="Times New Roman" w:hAnsi="Times New Roman" w:eastAsia="方正黑体_GBK" w:cs="Times New Roman"/>
          <w:kern w:val="2"/>
          <w:sz w:val="36"/>
          <w:szCs w:val="36"/>
        </w:rPr>
        <w:t>6.深入推进国土空间生态修复。</w:t>
      </w:r>
      <w:r>
        <w:rPr>
          <w:rFonts w:ascii="Times New Roman" w:hAnsi="Times New Roman" w:eastAsia="方正仿宋_GBK" w:cs="Times New Roman"/>
          <w:kern w:val="2"/>
          <w:sz w:val="36"/>
          <w:szCs w:val="36"/>
        </w:rPr>
        <w:t>一是稳步推进在建土地整治项目建设，争取岔河等三个镇整村推进省级投资土地整治项目确保通过省级验收，高良涧王集、东双沟太平等村项目要盯紧工程建设；二是继续开展占补平衡入库项目建设和挂钩转占补工作，扩大入库规模，严密组织，全力实施，确保复垦资金及时到位，保障农民的权益不受损，同时做到科学编制、科学复垦，提高新增耕地质量；三是严格依照《矿山地质环境保护规定》要求，稳步开展老子山镇龙旺山废弃采石宕口地质环境治理工程，切实做好老子山安淮寺地质灾害防治工作，</w:t>
      </w:r>
      <w:r>
        <w:rPr>
          <w:rFonts w:ascii="Times New Roman" w:hAnsi="Times New Roman" w:eastAsia="方正仿宋_GBK" w:cs="Times New Roman"/>
          <w:sz w:val="36"/>
          <w:szCs w:val="36"/>
        </w:rPr>
        <w:t>强化地质环境保护和治理</w:t>
      </w:r>
      <w:r>
        <w:rPr>
          <w:rFonts w:ascii="Times New Roman" w:hAnsi="Times New Roman" w:eastAsia="方正仿宋_GBK" w:cs="Times New Roman"/>
          <w:kern w:val="2"/>
          <w:sz w:val="36"/>
          <w:szCs w:val="36"/>
        </w:rPr>
        <w:t>。</w:t>
      </w:r>
    </w:p>
    <w:p w14:paraId="1D1979C4">
      <w:pPr>
        <w:spacing w:line="590" w:lineRule="exact"/>
        <w:ind w:firstLine="708" w:firstLineChars="196"/>
        <w:rPr>
          <w:rFonts w:ascii="Times New Roman" w:hAnsi="Times New Roman" w:eastAsia="方正楷体_GBK" w:cs="Times New Roman"/>
          <w:b/>
          <w:sz w:val="36"/>
          <w:szCs w:val="36"/>
        </w:rPr>
      </w:pPr>
      <w:r>
        <w:rPr>
          <w:rFonts w:ascii="Times New Roman" w:hAnsi="Times New Roman" w:eastAsia="方正楷体_GBK" w:cs="Times New Roman"/>
          <w:b/>
          <w:sz w:val="36"/>
          <w:szCs w:val="36"/>
        </w:rPr>
        <w:t>（三）强化工作能力提升，全力夯实基础增强发展后劲</w:t>
      </w:r>
    </w:p>
    <w:p w14:paraId="756108A6">
      <w:pPr>
        <w:spacing w:line="590" w:lineRule="exact"/>
        <w:ind w:firstLine="705" w:firstLineChars="196"/>
        <w:rPr>
          <w:rFonts w:ascii="Times New Roman" w:hAnsi="Times New Roman" w:eastAsia="方正仿宋_GBK" w:cs="Times New Roman"/>
          <w:sz w:val="36"/>
          <w:szCs w:val="36"/>
        </w:rPr>
      </w:pPr>
      <w:r>
        <w:rPr>
          <w:rFonts w:ascii="Times New Roman" w:hAnsi="Times New Roman" w:eastAsia="方正仿宋_GBK" w:cs="Times New Roman"/>
          <w:sz w:val="36"/>
          <w:szCs w:val="36"/>
        </w:rPr>
        <w:t>要在主动把握和积极适应高质量发展新常态中，增强定力、深处着力、精准发力、统筹用力，全力保持和巩固稳中有为、稳中求进的发展态势，为区域经济高质量发展提供支撑、增强动力。</w:t>
      </w:r>
    </w:p>
    <w:p w14:paraId="2695CE34">
      <w:pPr>
        <w:widowControl/>
        <w:spacing w:line="590" w:lineRule="exact"/>
        <w:ind w:firstLine="720" w:firstLineChars="200"/>
        <w:jc w:val="left"/>
        <w:rPr>
          <w:rFonts w:ascii="Times New Roman" w:hAnsi="Times New Roman" w:eastAsia="方正仿宋_GBK" w:cs="Times New Roman"/>
          <w:sz w:val="36"/>
          <w:szCs w:val="36"/>
        </w:rPr>
      </w:pPr>
      <w:r>
        <w:rPr>
          <w:rFonts w:ascii="Times New Roman" w:hAnsi="Times New Roman" w:eastAsia="方正黑体_GBK" w:cs="Times New Roman"/>
          <w:sz w:val="36"/>
          <w:szCs w:val="36"/>
        </w:rPr>
        <w:t>1.全面落实耕地保护责任目标。</w:t>
      </w:r>
      <w:r>
        <w:rPr>
          <w:rFonts w:ascii="Times New Roman" w:hAnsi="Times New Roman" w:eastAsia="方正仿宋_GBK" w:cs="Times New Roman"/>
          <w:sz w:val="36"/>
          <w:szCs w:val="36"/>
        </w:rPr>
        <w:t>继续贯彻落实最严格的耕地保护制度，确保上级下达我区的耕地保有量和基本农田保护面积指标不减少；进一步落实和完善共同保护责任机制，扎实开展耕地质量和耕地产能评价试点工作，促进耕地数量、质量和生态“三位一体”保护；扎实开展永久基本农田核实整改工作，根据国家、省统一部署，结合审计整改要求，以“三调”成果为基础，全面排查确定永久基本农田问题图斑，梳理问题清单，提出分类处置意见，编制永久基本农田整改补划方案，更新完善永久基本农田数据库，并做好与国土空间规划的衔接；稳步推进设施农用地管理新规适用，促进高效农业发展。</w:t>
      </w:r>
    </w:p>
    <w:p w14:paraId="5C146B25">
      <w:pPr>
        <w:spacing w:line="590" w:lineRule="exact"/>
        <w:ind w:firstLine="705" w:firstLineChars="196"/>
        <w:rPr>
          <w:rFonts w:ascii="Times New Roman" w:hAnsi="Times New Roman" w:eastAsia="方正仿宋_GBK" w:cs="Times New Roman"/>
          <w:sz w:val="36"/>
          <w:szCs w:val="36"/>
        </w:rPr>
      </w:pPr>
      <w:r>
        <w:rPr>
          <w:rFonts w:ascii="Times New Roman" w:hAnsi="Times New Roman" w:eastAsia="方正黑体_GBK" w:cs="Times New Roman"/>
          <w:sz w:val="36"/>
          <w:szCs w:val="36"/>
        </w:rPr>
        <w:t>2.继续加大违法用地查处力度。</w:t>
      </w:r>
      <w:r>
        <w:rPr>
          <w:rFonts w:ascii="Times New Roman" w:hAnsi="Times New Roman" w:eastAsia="方正仿宋_GBK" w:cs="Times New Roman"/>
          <w:sz w:val="36"/>
          <w:szCs w:val="36"/>
        </w:rPr>
        <w:t>继续推进违法违规用地综合整治三年行动、安全生产清查整治、年度卫片执法检查、自然资源审计和历史挂账问题整改；严格土地执法检查，落实“增违挂钩”举措，认真做好、按时完成违规建设殡葬设施清理整治、违法违规用地整改三年行动、卫片执法检查、历年挂账问题整改等各项工作，坚决对新增违法用地“零容忍”；充分高效利用“慧眼守土”监控点，对违法占用农用地，特别是违法占用耕地、基本农田行为，要从严、从重处理；加大土地执法巡查力度，普及土地法律知识，规范用地行为，选择典型案件在网络曝光，加大对各镇（街道）党委政府的宣传力度，要制定提前介入的项目用地机制；继续实施建设工程批后跟踪监管、规划核实、房屋验线等工作，适时组织规划许可“双随机、一公开”检查。</w:t>
      </w:r>
    </w:p>
    <w:p w14:paraId="165F4482">
      <w:pPr>
        <w:pStyle w:val="8"/>
        <w:spacing w:line="590" w:lineRule="exact"/>
        <w:ind w:firstLine="705" w:firstLineChars="196"/>
        <w:rPr>
          <w:rFonts w:ascii="Times New Roman" w:hAnsi="Times New Roman" w:eastAsia="方正仿宋_GBK" w:cs="Times New Roman"/>
          <w:kern w:val="2"/>
          <w:sz w:val="36"/>
          <w:szCs w:val="36"/>
        </w:rPr>
      </w:pPr>
      <w:r>
        <w:rPr>
          <w:rFonts w:ascii="Times New Roman" w:hAnsi="Times New Roman" w:eastAsia="方正黑体_GBK" w:cs="Times New Roman"/>
          <w:kern w:val="2"/>
          <w:sz w:val="36"/>
          <w:szCs w:val="36"/>
        </w:rPr>
        <w:t>3.不断践行绿色生态发展理念。</w:t>
      </w:r>
      <w:r>
        <w:rPr>
          <w:rFonts w:ascii="Times New Roman" w:hAnsi="Times New Roman" w:eastAsia="方正仿宋_GBK" w:cs="Times New Roman"/>
          <w:kern w:val="2"/>
          <w:sz w:val="36"/>
          <w:szCs w:val="36"/>
        </w:rPr>
        <w:t>深入开展森林防火专项整治行动，编制森林防火规划，签订森林防火责任状，严格落实森林防火行业管理责任；做好“十四五”森林采伐限额编制准备工作，加强林业有害生物的防控，突出做好松材线虫病、美国白蛾、杨小舟蛾的防控，继续开展野生动物疫源疫病监测救护和种质资源收集繁育工作；强化造林植绿工作，年度</w:t>
      </w:r>
      <w:r>
        <w:rPr>
          <w:rFonts w:ascii="Times New Roman" w:hAnsi="方正仿宋_GBK" w:eastAsia="方正仿宋_GBK" w:cs="Times New Roman"/>
          <w:sz w:val="36"/>
          <w:szCs w:val="36"/>
        </w:rPr>
        <w:t>成片造林</w:t>
      </w:r>
      <w:r>
        <w:rPr>
          <w:rFonts w:ascii="Times New Roman" w:hAnsi="Times New Roman" w:eastAsia="方正仿宋_GBK" w:cs="Times New Roman"/>
          <w:sz w:val="36"/>
          <w:szCs w:val="36"/>
        </w:rPr>
        <w:t>10000</w:t>
      </w:r>
      <w:r>
        <w:rPr>
          <w:rFonts w:ascii="Times New Roman" w:hAnsi="方正仿宋_GBK" w:eastAsia="方正仿宋_GBK" w:cs="Times New Roman"/>
          <w:sz w:val="36"/>
          <w:szCs w:val="36"/>
        </w:rPr>
        <w:t>亩，其中净增造林面积</w:t>
      </w:r>
      <w:r>
        <w:rPr>
          <w:rFonts w:ascii="Times New Roman" w:hAnsi="Times New Roman" w:eastAsia="方正仿宋_GBK" w:cs="Times New Roman"/>
          <w:sz w:val="36"/>
          <w:szCs w:val="36"/>
        </w:rPr>
        <w:t>3500</w:t>
      </w:r>
      <w:r>
        <w:rPr>
          <w:rFonts w:ascii="Times New Roman" w:hAnsi="方正仿宋_GBK" w:eastAsia="方正仿宋_GBK" w:cs="Times New Roman"/>
          <w:sz w:val="36"/>
          <w:szCs w:val="36"/>
        </w:rPr>
        <w:t>亩，珍贵用材树种培育</w:t>
      </w:r>
      <w:r>
        <w:rPr>
          <w:rFonts w:ascii="Times New Roman" w:hAnsi="Times New Roman" w:eastAsia="方正仿宋_GBK" w:cs="Times New Roman"/>
          <w:sz w:val="36"/>
          <w:szCs w:val="36"/>
        </w:rPr>
        <w:t>1500</w:t>
      </w:r>
      <w:r>
        <w:rPr>
          <w:rFonts w:ascii="Times New Roman" w:hAnsi="方正仿宋_GBK" w:eastAsia="方正仿宋_GBK" w:cs="Times New Roman"/>
          <w:sz w:val="36"/>
          <w:szCs w:val="36"/>
        </w:rPr>
        <w:t>亩</w:t>
      </w:r>
      <w:r>
        <w:rPr>
          <w:rFonts w:ascii="Times New Roman" w:hAnsi="Times New Roman" w:eastAsia="方正仿宋_GBK" w:cs="Times New Roman"/>
          <w:sz w:val="36"/>
          <w:szCs w:val="36"/>
        </w:rPr>
        <w:t>20</w:t>
      </w:r>
      <w:r>
        <w:rPr>
          <w:rFonts w:ascii="Times New Roman" w:hAnsi="方正仿宋_GBK" w:eastAsia="方正仿宋_GBK" w:cs="Times New Roman"/>
          <w:sz w:val="36"/>
          <w:szCs w:val="36"/>
        </w:rPr>
        <w:t>万株，新建国家森林乡村</w:t>
      </w:r>
      <w:r>
        <w:rPr>
          <w:rFonts w:ascii="Times New Roman" w:hAnsi="Times New Roman" w:eastAsia="方正仿宋_GBK" w:cs="Times New Roman"/>
          <w:sz w:val="36"/>
          <w:szCs w:val="36"/>
        </w:rPr>
        <w:t>9</w:t>
      </w:r>
      <w:r>
        <w:rPr>
          <w:rFonts w:ascii="Times New Roman" w:hAnsi="方正仿宋_GBK" w:eastAsia="方正仿宋_GBK" w:cs="Times New Roman"/>
          <w:sz w:val="36"/>
          <w:szCs w:val="36"/>
        </w:rPr>
        <w:t>个，省级绿美村庄</w:t>
      </w:r>
      <w:r>
        <w:rPr>
          <w:rFonts w:ascii="Times New Roman" w:hAnsi="Times New Roman" w:eastAsia="方正仿宋_GBK" w:cs="Times New Roman"/>
          <w:sz w:val="36"/>
          <w:szCs w:val="36"/>
        </w:rPr>
        <w:t>5</w:t>
      </w:r>
      <w:r>
        <w:rPr>
          <w:rFonts w:ascii="Times New Roman" w:hAnsi="方正仿宋_GBK" w:eastAsia="方正仿宋_GBK" w:cs="Times New Roman"/>
          <w:sz w:val="36"/>
          <w:szCs w:val="36"/>
        </w:rPr>
        <w:t>个，新建和完善农田林网控制面积</w:t>
      </w:r>
      <w:r>
        <w:rPr>
          <w:rFonts w:ascii="Times New Roman" w:hAnsi="Times New Roman" w:eastAsia="方正仿宋_GBK" w:cs="Times New Roman"/>
          <w:sz w:val="36"/>
          <w:szCs w:val="36"/>
        </w:rPr>
        <w:t>20000</w:t>
      </w:r>
      <w:r>
        <w:rPr>
          <w:rFonts w:ascii="Times New Roman" w:hAnsi="方正仿宋_GBK" w:eastAsia="方正仿宋_GBK" w:cs="Times New Roman"/>
          <w:sz w:val="36"/>
          <w:szCs w:val="36"/>
        </w:rPr>
        <w:t>亩。四旁植树</w:t>
      </w:r>
      <w:r>
        <w:rPr>
          <w:rFonts w:ascii="Times New Roman" w:hAnsi="Times New Roman" w:eastAsia="方正仿宋_GBK" w:cs="Times New Roman"/>
          <w:sz w:val="36"/>
          <w:szCs w:val="36"/>
        </w:rPr>
        <w:t>60</w:t>
      </w:r>
      <w:r>
        <w:rPr>
          <w:rFonts w:ascii="Times New Roman" w:hAnsi="方正仿宋_GBK" w:eastAsia="方正仿宋_GBK" w:cs="Times New Roman"/>
          <w:sz w:val="36"/>
          <w:szCs w:val="36"/>
        </w:rPr>
        <w:t>万株；</w:t>
      </w:r>
      <w:r>
        <w:rPr>
          <w:rFonts w:ascii="Times New Roman" w:hAnsi="Times New Roman" w:eastAsia="方正仿宋_GBK" w:cs="Times New Roman"/>
          <w:kern w:val="2"/>
          <w:sz w:val="36"/>
          <w:szCs w:val="36"/>
        </w:rPr>
        <w:t>加强自然保护地监管，优化调整自然保护地和生态红线调整，统筹“三区三线”，整合各级各类自然保护地，制定自然保护地勘界工作方案，建立矢</w:t>
      </w:r>
      <w:r>
        <w:rPr>
          <w:rFonts w:hint="eastAsia" w:ascii="Times New Roman" w:hAnsi="Times New Roman" w:eastAsia="方正仿宋_GBK" w:cs="Times New Roman"/>
          <w:kern w:val="2"/>
          <w:sz w:val="36"/>
          <w:szCs w:val="36"/>
        </w:rPr>
        <w:t>（shi）</w:t>
      </w:r>
      <w:r>
        <w:rPr>
          <w:rFonts w:ascii="Times New Roman" w:hAnsi="Times New Roman" w:eastAsia="方正仿宋_GBK" w:cs="Times New Roman"/>
          <w:kern w:val="2"/>
          <w:sz w:val="36"/>
          <w:szCs w:val="36"/>
        </w:rPr>
        <w:t>量数据库，解决自然保护地区域交叉、空间重叠问题；开展小微湿地公园建设，配合编制湿地保护规划，开展洪泽湖国家重要湿地申报创建，全面提升湿地保护水平和自然保护率，促进生态文明建设。</w:t>
      </w:r>
    </w:p>
    <w:p w14:paraId="5FD3EF70">
      <w:pPr>
        <w:widowControl/>
        <w:spacing w:line="590" w:lineRule="exact"/>
        <w:ind w:firstLine="810" w:firstLineChars="225"/>
        <w:jc w:val="left"/>
        <w:rPr>
          <w:rFonts w:ascii="Times New Roman" w:hAnsi="Times New Roman" w:eastAsia="方正仿宋_GBK" w:cs="Times New Roman"/>
          <w:sz w:val="36"/>
          <w:szCs w:val="36"/>
        </w:rPr>
      </w:pPr>
      <w:r>
        <w:rPr>
          <w:rFonts w:ascii="Times New Roman" w:hAnsi="Times New Roman" w:eastAsia="方正黑体_GBK" w:cs="Times New Roman"/>
          <w:sz w:val="36"/>
          <w:szCs w:val="36"/>
        </w:rPr>
        <w:t>4.夯实自然资源基础业务信息。</w:t>
      </w:r>
      <w:r>
        <w:rPr>
          <w:rFonts w:ascii="Times New Roman" w:hAnsi="Times New Roman" w:eastAsia="方正仿宋_GBK" w:cs="Times New Roman"/>
          <w:sz w:val="36"/>
          <w:szCs w:val="36"/>
        </w:rPr>
        <w:t>继续提升“一张图”系统应用水平，推动大地2000坐标系转换，深入推进“四全”服务模式；做好不动产登记系统和信息动态监管查询系统应用，完成年度土地利用现状变更调查与遥感监测工作；继续开展档案管理数字化建设，建设省五星级档案；加强会计电算化知识和财务办公软件的学习、运用，规范财务运行制度；强化综合测绘项目基础管理，推动“多测合一”，规范项目测量、成果汇交、综合运用、监督监管、验收支付等举措，确保各类测绘项目数据成果良性运行。</w:t>
      </w:r>
    </w:p>
    <w:p w14:paraId="60958F13">
      <w:pPr>
        <w:spacing w:line="590" w:lineRule="exact"/>
        <w:ind w:firstLine="646"/>
        <w:rPr>
          <w:rFonts w:ascii="Times New Roman" w:hAnsi="Times New Roman" w:eastAsia="方正仿宋_GBK" w:cs="Times New Roman"/>
          <w:sz w:val="36"/>
          <w:szCs w:val="36"/>
        </w:rPr>
      </w:pPr>
      <w:r>
        <w:rPr>
          <w:rFonts w:ascii="Times New Roman" w:hAnsi="Times New Roman" w:eastAsia="方正黑体_GBK" w:cs="Times New Roman"/>
          <w:sz w:val="36"/>
          <w:szCs w:val="36"/>
        </w:rPr>
        <w:t>5.全心全意维护农民合法权益。</w:t>
      </w:r>
      <w:r>
        <w:rPr>
          <w:rFonts w:ascii="Times New Roman" w:hAnsi="Times New Roman" w:eastAsia="方正仿宋_GBK" w:cs="Times New Roman"/>
          <w:sz w:val="36"/>
          <w:szCs w:val="36"/>
        </w:rPr>
        <w:t>切实编制好农房改善项目规划方案，确保新建农民小区高水平编制规划，同时在土地利用总体规划修改时统筹考虑今后一段时期新建农房项目用地需求，确保农房建设项目选址符合规划；严格土地征收程序，坚持阳光操作，实行实地公示、网络公开同步，足额及时兑付土地补偿费，严格执行省政府93号令配套政策，实现政策无缝对接；做好土地权属纠纷调处，多方征求意见，多方会商，兼顾多方利益；积极推进依法处理涉土信访、依申请信息公开、行政诉讼等问题，进一步规范信访、公开事项办理、复查、复核等行为；持续开展不动产登记窗口作风建设，加大整治力度，全面运用水、电、气、网络、电视等业务联动办理，巩固并加强“三级联动、共享查询”功能，所有应办件升级为即办件，确保窗口服务群众满意、企业满意、政府满意。</w:t>
      </w:r>
    </w:p>
    <w:p w14:paraId="649EC19D">
      <w:pPr>
        <w:spacing w:line="590" w:lineRule="exact"/>
        <w:ind w:firstLine="646"/>
        <w:rPr>
          <w:rFonts w:ascii="Times New Roman" w:hAnsi="Times New Roman" w:eastAsia="方正仿宋_GBK" w:cs="Times New Roman"/>
          <w:sz w:val="36"/>
          <w:szCs w:val="36"/>
        </w:rPr>
      </w:pPr>
      <w:r>
        <w:rPr>
          <w:rFonts w:ascii="Times New Roman" w:hAnsi="Times New Roman" w:eastAsia="方正黑体_GBK" w:cs="Times New Roman"/>
          <w:sz w:val="36"/>
          <w:szCs w:val="36"/>
        </w:rPr>
        <w:t>6.持续推动安全生产工作。</w:t>
      </w:r>
      <w:r>
        <w:rPr>
          <w:rFonts w:ascii="Times New Roman" w:hAnsi="Times New Roman" w:eastAsia="方正仿宋_GBK" w:cs="Times New Roman"/>
          <w:sz w:val="36"/>
          <w:szCs w:val="36"/>
        </w:rPr>
        <w:t>要认真贯彻省市区安全生产工作要求，根据市局部署，扎实开展自然资源各领域专项整治；严格落实安全生产责任制规定，坚持“党政同责、一岗双责、齐抓共管、失职追责”和“管行业必须管安全、管业务必须管安全、管生产经营必须管安全”原则，强化“谁分管谁负责、谁监管谁负责、谁检查谁负责”安全生产各项措施，防范自然资源领域重特大安全事故的发生；要继续按照省市区部署安排，毫不放松的抓紧抓实抓细疫情防控以及各项重点工作，切实做到一手抓防控、一手促发展。</w:t>
      </w:r>
    </w:p>
    <w:p w14:paraId="39768B96">
      <w:pPr>
        <w:spacing w:line="590" w:lineRule="exact"/>
        <w:ind w:firstLine="646"/>
        <w:rPr>
          <w:rFonts w:ascii="Times New Roman" w:hAnsi="Times New Roman" w:eastAsia="方正楷体_GBK" w:cs="Times New Roman"/>
          <w:b/>
          <w:sz w:val="36"/>
          <w:szCs w:val="36"/>
        </w:rPr>
      </w:pPr>
      <w:r>
        <w:rPr>
          <w:rFonts w:ascii="Times New Roman" w:hAnsi="Times New Roman" w:eastAsia="方正楷体_GBK" w:cs="Times New Roman"/>
          <w:b/>
          <w:sz w:val="36"/>
          <w:szCs w:val="36"/>
        </w:rPr>
        <w:t>（四）强化党风廉政建设，全力打造自然资源先锋队伍</w:t>
      </w:r>
    </w:p>
    <w:p w14:paraId="13D5D462">
      <w:pPr>
        <w:spacing w:line="590" w:lineRule="exact"/>
        <w:ind w:firstLine="646"/>
        <w:rPr>
          <w:rFonts w:ascii="Times New Roman" w:hAnsi="Times New Roman" w:eastAsia="方正仿宋_GBK" w:cs="Times New Roman"/>
          <w:sz w:val="36"/>
          <w:szCs w:val="36"/>
        </w:rPr>
      </w:pPr>
      <w:r>
        <w:rPr>
          <w:rFonts w:ascii="Times New Roman" w:hAnsi="Times New Roman" w:eastAsia="方正仿宋_GBK" w:cs="Times New Roman"/>
          <w:sz w:val="36"/>
          <w:szCs w:val="36"/>
        </w:rPr>
        <w:t>认真“清风自然”建设总要求，以永远在路上的执着把全面从严治党引向深入，为推动自然资源管理事业的改革发展提供坚强保证。</w:t>
      </w:r>
    </w:p>
    <w:p w14:paraId="0D4173BE">
      <w:pPr>
        <w:spacing w:line="590" w:lineRule="exact"/>
        <w:ind w:firstLine="646"/>
        <w:rPr>
          <w:rFonts w:ascii="Times New Roman" w:hAnsi="Times New Roman" w:eastAsia="方正仿宋_GBK" w:cs="Times New Roman"/>
          <w:sz w:val="36"/>
          <w:szCs w:val="36"/>
        </w:rPr>
      </w:pPr>
      <w:r>
        <w:rPr>
          <w:rFonts w:ascii="Times New Roman" w:hAnsi="Times New Roman" w:eastAsia="方正黑体_GBK" w:cs="Times New Roman"/>
          <w:sz w:val="36"/>
          <w:szCs w:val="36"/>
        </w:rPr>
        <w:t>1.抓住主体责任“牛鼻子”，强化核心示范作用。</w:t>
      </w:r>
      <w:r>
        <w:rPr>
          <w:rFonts w:ascii="Times New Roman" w:hAnsi="Times New Roman" w:eastAsia="方正仿宋_GBK" w:cs="Times New Roman"/>
          <w:sz w:val="36"/>
          <w:szCs w:val="36"/>
        </w:rPr>
        <w:t>局党总支委员以及各支部书记要牢固树立主体责任意识，强化责任担当。</w:t>
      </w:r>
    </w:p>
    <w:p w14:paraId="23020615">
      <w:pPr>
        <w:spacing w:line="590" w:lineRule="exact"/>
        <w:ind w:firstLine="646"/>
        <w:rPr>
          <w:rFonts w:ascii="Times New Roman" w:hAnsi="Times New Roman" w:eastAsia="方正仿宋_GBK" w:cs="Times New Roman"/>
          <w:sz w:val="36"/>
          <w:szCs w:val="36"/>
        </w:rPr>
      </w:pPr>
      <w:r>
        <w:rPr>
          <w:rFonts w:ascii="Times New Roman" w:hAnsi="Times New Roman" w:eastAsia="方正楷体_GBK" w:cs="Times New Roman"/>
          <w:b/>
          <w:sz w:val="36"/>
          <w:szCs w:val="36"/>
        </w:rPr>
        <w:t>一是主动担责不放手。</w:t>
      </w:r>
      <w:r>
        <w:rPr>
          <w:rFonts w:ascii="Times New Roman" w:hAnsi="Times New Roman" w:eastAsia="方正仿宋_GBK" w:cs="Times New Roman"/>
          <w:sz w:val="36"/>
          <w:szCs w:val="36"/>
        </w:rPr>
        <w:t>按照党要管党、从严治党的要求，紧紧围绕省厅党组、市局党委的决策部署，切实增强主体责任意识，以高度的政治责任感，与时俱进地统筹谋划好全局党风廉政建设工作，科学构建全局责任体系，层层传导责任压力，把主体责任压紧压实。</w:t>
      </w:r>
    </w:p>
    <w:p w14:paraId="1FB0271A">
      <w:pPr>
        <w:spacing w:line="590" w:lineRule="exact"/>
        <w:ind w:firstLine="646"/>
        <w:rPr>
          <w:rFonts w:ascii="Times New Roman" w:hAnsi="Times New Roman" w:eastAsia="方正仿宋_GBK" w:cs="Times New Roman"/>
          <w:sz w:val="36"/>
          <w:szCs w:val="36"/>
        </w:rPr>
      </w:pPr>
      <w:r>
        <w:rPr>
          <w:rFonts w:ascii="Times New Roman" w:hAnsi="Times New Roman" w:eastAsia="方正楷体_GBK" w:cs="Times New Roman"/>
          <w:b/>
          <w:sz w:val="36"/>
          <w:szCs w:val="36"/>
        </w:rPr>
        <w:t>二是转变政风不懈怠。</w:t>
      </w:r>
      <w:r>
        <w:rPr>
          <w:rFonts w:ascii="Times New Roman" w:hAnsi="Times New Roman" w:eastAsia="方正仿宋_GBK" w:cs="Times New Roman"/>
          <w:sz w:val="36"/>
          <w:szCs w:val="36"/>
        </w:rPr>
        <w:t>持续开展机关党风政风整治，反对一切形式的官僚主义、形式主义，对各种不为乱为、推诿扯皮、自由主义散漫等顽疾，及时予以组织处理，力避把规矩纪律“高高举起、轻轻放下”。</w:t>
      </w:r>
    </w:p>
    <w:p w14:paraId="43D8D142">
      <w:pPr>
        <w:spacing w:line="590" w:lineRule="exact"/>
        <w:ind w:firstLine="646"/>
        <w:rPr>
          <w:rFonts w:ascii="Times New Roman" w:hAnsi="Times New Roman" w:eastAsia="方正仿宋_GBK" w:cs="Times New Roman"/>
          <w:sz w:val="36"/>
          <w:szCs w:val="36"/>
        </w:rPr>
      </w:pPr>
      <w:r>
        <w:rPr>
          <w:rFonts w:ascii="Times New Roman" w:hAnsi="Times New Roman" w:eastAsia="方正楷体_GBK" w:cs="Times New Roman"/>
          <w:b/>
          <w:sz w:val="36"/>
          <w:szCs w:val="36"/>
        </w:rPr>
        <w:t>三是带头守纪不动摇。</w:t>
      </w:r>
      <w:r>
        <w:rPr>
          <w:rFonts w:ascii="Times New Roman" w:hAnsi="Times New Roman" w:eastAsia="方正仿宋_GBK" w:cs="Times New Roman"/>
          <w:sz w:val="36"/>
          <w:szCs w:val="36"/>
        </w:rPr>
        <w:t>要以身作则，发挥示范引领“带头雁”作用，带头遵守各项纪律规定，自觉拧紧理想信念的“总开关”，自觉做政治上的“明白人”，自觉练好法治建设的“基本功”，自觉构建抵御腐败的“防火墙”，始终坚持以规正行、以廉立品，守住底线，强化自觉接受监督的意识，廉洁自律，永葆廉洁本色。</w:t>
      </w:r>
    </w:p>
    <w:p w14:paraId="6FE0AF62">
      <w:pPr>
        <w:spacing w:line="590" w:lineRule="exact"/>
        <w:ind w:firstLine="720" w:firstLineChars="200"/>
        <w:rPr>
          <w:rFonts w:ascii="Times New Roman" w:hAnsi="Times New Roman" w:eastAsia="方正仿宋_GBK" w:cs="Times New Roman"/>
          <w:sz w:val="36"/>
          <w:szCs w:val="36"/>
        </w:rPr>
      </w:pPr>
      <w:r>
        <w:rPr>
          <w:rFonts w:ascii="Times New Roman" w:hAnsi="Times New Roman" w:eastAsia="方正黑体_GBK" w:cs="Times New Roman"/>
          <w:sz w:val="36"/>
          <w:szCs w:val="36"/>
        </w:rPr>
        <w:t>2.抓牢“一岗双责”核心点，锤炼务实担当队伍。</w:t>
      </w:r>
      <w:r>
        <w:rPr>
          <w:rFonts w:ascii="Times New Roman" w:hAnsi="Times New Roman" w:eastAsia="方正仿宋_GBK" w:cs="Times New Roman"/>
          <w:sz w:val="36"/>
          <w:szCs w:val="36"/>
        </w:rPr>
        <w:t>将落实主体责任和履行“一岗双责”有机结合起来，认真抓好班子主体责任、分管领导和股室负责人、支部书记、中心所负责人“一岗双责”，形成责任具体、环环相扣的“责任链”。</w:t>
      </w:r>
    </w:p>
    <w:p w14:paraId="19B53DB6">
      <w:pPr>
        <w:spacing w:line="590" w:lineRule="exact"/>
        <w:ind w:firstLine="723" w:firstLineChars="200"/>
        <w:rPr>
          <w:rFonts w:ascii="Times New Roman" w:hAnsi="Times New Roman" w:eastAsia="方正仿宋_GBK" w:cs="Times New Roman"/>
          <w:sz w:val="36"/>
          <w:szCs w:val="36"/>
        </w:rPr>
      </w:pPr>
      <w:r>
        <w:rPr>
          <w:rFonts w:ascii="Times New Roman" w:hAnsi="Times New Roman" w:eastAsia="方正楷体_GBK" w:cs="Times New Roman"/>
          <w:b/>
          <w:sz w:val="36"/>
          <w:szCs w:val="36"/>
        </w:rPr>
        <w:t>一要聚焦关键领域，借力专项整治。</w:t>
      </w:r>
      <w:r>
        <w:rPr>
          <w:rFonts w:ascii="Times New Roman" w:hAnsi="Times New Roman" w:eastAsia="方正仿宋_GBK" w:cs="Times New Roman"/>
          <w:sz w:val="36"/>
          <w:szCs w:val="36"/>
        </w:rPr>
        <w:t>精准查摆违反中央八项规定精神、“四风”具体问题，特别是农房改善、方案审查、不动产权属登记、土地招拍挂、公务接待等关键领域，发现问题严查快办、严惩不贷。</w:t>
      </w:r>
    </w:p>
    <w:p w14:paraId="590D3360">
      <w:pPr>
        <w:spacing w:line="590" w:lineRule="exact"/>
        <w:ind w:firstLine="723" w:firstLineChars="200"/>
        <w:rPr>
          <w:rFonts w:ascii="Times New Roman" w:hAnsi="Times New Roman" w:eastAsia="方正仿宋_GBK" w:cs="Times New Roman"/>
          <w:sz w:val="36"/>
          <w:szCs w:val="36"/>
        </w:rPr>
      </w:pPr>
      <w:r>
        <w:rPr>
          <w:rFonts w:ascii="Times New Roman" w:hAnsi="Times New Roman" w:eastAsia="方正楷体_GBK" w:cs="Times New Roman"/>
          <w:b/>
          <w:sz w:val="36"/>
          <w:szCs w:val="36"/>
        </w:rPr>
        <w:t>二要强化结对共建，打造党建品牌。</w:t>
      </w:r>
      <w:r>
        <w:rPr>
          <w:rFonts w:ascii="Times New Roman" w:hAnsi="Times New Roman" w:eastAsia="方正仿宋_GBK" w:cs="Times New Roman"/>
          <w:sz w:val="36"/>
          <w:szCs w:val="36"/>
        </w:rPr>
        <w:t>要扎实开展2020年度党支部结对共建工作，把党风廉政建设活动深度融合到结对共建中，并结合全年党建工作计划，统筹谋划各支部党风廉政建设活动；结合“先锋自然”，按照“一支部一品牌”的要求，全力打造党建新品牌，擦亮我局金名片。</w:t>
      </w:r>
    </w:p>
    <w:p w14:paraId="6A78D5EB">
      <w:pPr>
        <w:spacing w:line="590" w:lineRule="exact"/>
        <w:ind w:firstLine="723" w:firstLineChars="200"/>
        <w:rPr>
          <w:rFonts w:ascii="Times New Roman" w:hAnsi="Times New Roman" w:eastAsia="方正仿宋_GBK" w:cs="Times New Roman"/>
          <w:sz w:val="36"/>
          <w:szCs w:val="36"/>
        </w:rPr>
      </w:pPr>
      <w:r>
        <w:rPr>
          <w:rFonts w:ascii="Times New Roman" w:hAnsi="Times New Roman" w:eastAsia="方正楷体_GBK" w:cs="Times New Roman"/>
          <w:b/>
          <w:sz w:val="36"/>
          <w:szCs w:val="36"/>
        </w:rPr>
        <w:t>三要紧盯重要节点，加强日常监督。</w:t>
      </w:r>
      <w:r>
        <w:rPr>
          <w:rFonts w:ascii="Times New Roman" w:hAnsi="Times New Roman" w:eastAsia="方正仿宋_GBK" w:cs="Times New Roman"/>
          <w:sz w:val="36"/>
          <w:szCs w:val="36"/>
        </w:rPr>
        <w:t>紧盯元旦、春节、五一、端午、中秋、国庆等重要时间节点，及时宣传节日期间相关纪律作风要求，并向社会公布监督举报方式。全系统干部职工要不断强化自律意识，节日期间要严格遵守中央八项规定精神，严禁出入高档会所消费、严禁参加可能影响工作的宴请、严禁接受关联机构的吃请送礼、严禁参加与黄赌毒有关的各类聚会、严禁酒后驾车等行为。</w:t>
      </w:r>
    </w:p>
    <w:p w14:paraId="38B395BA">
      <w:pPr>
        <w:spacing w:line="590" w:lineRule="exact"/>
        <w:ind w:firstLine="723" w:firstLineChars="200"/>
        <w:rPr>
          <w:rFonts w:ascii="Times New Roman" w:hAnsi="Times New Roman" w:eastAsia="方正仿宋_GBK" w:cs="Times New Roman"/>
          <w:sz w:val="36"/>
          <w:szCs w:val="36"/>
        </w:rPr>
      </w:pPr>
      <w:r>
        <w:rPr>
          <w:rFonts w:ascii="Times New Roman" w:hAnsi="Times New Roman" w:eastAsia="方正楷体_GBK" w:cs="Times New Roman"/>
          <w:b/>
          <w:sz w:val="36"/>
          <w:szCs w:val="36"/>
        </w:rPr>
        <w:t>四要注重宣传教育，筑牢思想防线。</w:t>
      </w:r>
      <w:r>
        <w:rPr>
          <w:rFonts w:ascii="Times New Roman" w:hAnsi="Times New Roman" w:eastAsia="方正仿宋_GBK" w:cs="Times New Roman"/>
          <w:sz w:val="36"/>
          <w:szCs w:val="36"/>
        </w:rPr>
        <w:t>同志们要集思众意，要特别注重在自然资源系统外网、省市区党建网的宣传力度，归纳总结、学习借鉴党风廉政建设工作好的做法，塑造洪泽自然资源系统良好形象；扎实开展“三警一线”实景课堂教育，深入推进“不忘初心、牢记使命”教育成果转化；要认真开展“三会一课”、固定党日等系列活动，丰富教育教学内容、形式，筑牢干部队伍廉洁行政、干净做事的思想基础。</w:t>
      </w:r>
    </w:p>
    <w:p w14:paraId="5C83D5FD">
      <w:pPr>
        <w:pStyle w:val="4"/>
        <w:shd w:val="clear" w:color="auto" w:fill="FFFFFF"/>
        <w:spacing w:before="0" w:beforeAutospacing="0" w:after="0" w:afterAutospacing="0" w:line="590" w:lineRule="exact"/>
        <w:ind w:firstLine="645"/>
        <w:rPr>
          <w:rFonts w:ascii="Times New Roman" w:hAnsi="Times New Roman" w:eastAsia="方正仿宋_GBK" w:cs="Times New Roman"/>
          <w:kern w:val="2"/>
          <w:sz w:val="36"/>
          <w:szCs w:val="36"/>
        </w:rPr>
      </w:pPr>
      <w:r>
        <w:rPr>
          <w:rFonts w:ascii="Times New Roman" w:hAnsi="Times New Roman" w:eastAsia="方正黑体_GBK" w:cs="Times New Roman"/>
          <w:kern w:val="2"/>
          <w:sz w:val="36"/>
          <w:szCs w:val="36"/>
        </w:rPr>
        <w:t>3.全面推进从严治党，强化执纪监督。</w:t>
      </w:r>
      <w:r>
        <w:rPr>
          <w:rFonts w:ascii="Times New Roman" w:hAnsi="Times New Roman" w:eastAsia="方正仿宋_GBK" w:cs="Times New Roman"/>
          <w:kern w:val="2"/>
          <w:sz w:val="36"/>
          <w:szCs w:val="36"/>
        </w:rPr>
        <w:t>全面从严治党，关键在严。实践“四种形态”，并不意味着反腐节奏要放缓、惩治力度要减弱，必须坚持执纪从严、违纪必究，查实一件、处理一件，做到力度不减、尺度不松、节奏不变。通过多种形式，实现“党内关系要正常化，批评和自我批评要经常开展，让咬耳扯袖、红脸出汗成为常态”，在苗头性问题变严重之前敢于担当、早治早防，通过谈话函询、教育提醒等方式实现关口前移、抓早抓小。各支部要把思想政治工作放在突出位置，通过治“心”、治“根”，唤醒党员党的意识和党性观念，不断匡正和校准党员思想行为，常态化开展违</w:t>
      </w:r>
      <w:r>
        <w:rPr>
          <w:rFonts w:hint="eastAsia" w:ascii="Times New Roman" w:hAnsi="Times New Roman" w:eastAsia="方正仿宋_GBK" w:cs="Times New Roman"/>
          <w:kern w:val="2"/>
          <w:sz w:val="36"/>
          <w:szCs w:val="36"/>
          <w:lang w:val="en-US" w:eastAsia="zh-CN"/>
        </w:rPr>
        <w:t>反</w:t>
      </w:r>
      <w:bookmarkStart w:id="0" w:name="_GoBack"/>
      <w:bookmarkEnd w:id="0"/>
      <w:r>
        <w:rPr>
          <w:rFonts w:ascii="Times New Roman" w:hAnsi="Times New Roman" w:eastAsia="方正仿宋_GBK" w:cs="Times New Roman"/>
          <w:kern w:val="2"/>
          <w:sz w:val="36"/>
          <w:szCs w:val="36"/>
        </w:rPr>
        <w:t>中央八项规定、“四风”问题排查、集中整治形式主义、官僚主义等行动，强化执纪问责，全力营造干净、纯洁的政治生态。</w:t>
      </w:r>
    </w:p>
    <w:p w14:paraId="48B52772">
      <w:pPr>
        <w:widowControl/>
        <w:spacing w:line="590" w:lineRule="exact"/>
        <w:ind w:firstLine="810" w:firstLineChars="225"/>
        <w:jc w:val="left"/>
        <w:rPr>
          <w:rFonts w:ascii="Times New Roman" w:hAnsi="Times New Roman" w:eastAsia="方正仿宋_GBK" w:cs="Times New Roman"/>
          <w:sz w:val="36"/>
          <w:szCs w:val="36"/>
        </w:rPr>
      </w:pPr>
      <w:r>
        <w:rPr>
          <w:rFonts w:ascii="Times New Roman" w:hAnsi="Times New Roman" w:eastAsia="方正仿宋_GBK" w:cs="Times New Roman"/>
          <w:sz w:val="36"/>
          <w:szCs w:val="36"/>
        </w:rPr>
        <w:t>不畏浮云遮望眼，唯有具备全局观、认清“大逻辑”，方能察形辨势，拨云见日。自然资源管理改革工作通过2019年以来的推进，已经拥有了足够的韧性、巨大的潜力，在大家的共同努力下，我们的工作长期向好的态势不会改变。在未来的工作中，要坚定落实省厅、市局提出的战略部署，紧紧围绕区委区政府重大决策，抓住机遇、迎接挑战，聚合推动自然资源发展的合力，观大势、谋全局、划重点，在“巩固、增强、提升、畅通”上下功夫，一步一个脚印把各项工作推向前进，为高质量建设现代化湖滨生态旅游新城作出更大的贡献。</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9F238DD0-8D85-4656-A5CA-3377F564CB94}"/>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embedRegular r:id="rId2" w:fontKey="{6C2AD22E-E93C-4318-B460-56C0980D740A}"/>
  </w:font>
  <w:font w:name="方正黑体_GBK">
    <w:panose1 w:val="03000509000000000000"/>
    <w:charset w:val="86"/>
    <w:family w:val="auto"/>
    <w:pitch w:val="default"/>
    <w:sig w:usb0="00000001" w:usb1="080E0000" w:usb2="00000000" w:usb3="00000000" w:csb0="00040000" w:csb1="00000000"/>
    <w:embedRegular r:id="rId3" w:fontKey="{F5B42F2D-B5F5-4D34-9BA5-5F9B68084E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078B">
    <w:pPr>
      <w:pStyle w:val="2"/>
      <w:jc w:val="center"/>
    </w:pPr>
    <w:r>
      <w:fldChar w:fldCharType="begin"/>
    </w:r>
    <w:r>
      <w:instrText xml:space="preserve"> PAGE   \* MERGEFORMAT </w:instrText>
    </w:r>
    <w:r>
      <w:fldChar w:fldCharType="separate"/>
    </w:r>
    <w:r>
      <w:rPr>
        <w:lang w:val="zh-CN"/>
      </w:rPr>
      <w:t>36</w:t>
    </w:r>
    <w:r>
      <w:rPr>
        <w:lang w:val="zh-CN"/>
      </w:rPr>
      <w:fldChar w:fldCharType="end"/>
    </w:r>
  </w:p>
  <w:p w14:paraId="360A21F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YTliNDA2NmE0MmZkZWI2NmQwOTA0MjUyNWJkYzgifQ=="/>
  </w:docVars>
  <w:rsids>
    <w:rsidRoot w:val="000932F9"/>
    <w:rsid w:val="00013219"/>
    <w:rsid w:val="0006031C"/>
    <w:rsid w:val="00072102"/>
    <w:rsid w:val="00090211"/>
    <w:rsid w:val="00092A16"/>
    <w:rsid w:val="000932F9"/>
    <w:rsid w:val="000A7120"/>
    <w:rsid w:val="000D0D4A"/>
    <w:rsid w:val="000D67BF"/>
    <w:rsid w:val="000D7902"/>
    <w:rsid w:val="000E1DEC"/>
    <w:rsid w:val="00101D3A"/>
    <w:rsid w:val="0010442A"/>
    <w:rsid w:val="00106F57"/>
    <w:rsid w:val="00124161"/>
    <w:rsid w:val="001369D3"/>
    <w:rsid w:val="00153388"/>
    <w:rsid w:val="00177657"/>
    <w:rsid w:val="00184A2C"/>
    <w:rsid w:val="001946E2"/>
    <w:rsid w:val="00194EFD"/>
    <w:rsid w:val="001A32C2"/>
    <w:rsid w:val="001C7129"/>
    <w:rsid w:val="001D61E9"/>
    <w:rsid w:val="001E2D46"/>
    <w:rsid w:val="002016B0"/>
    <w:rsid w:val="0020323C"/>
    <w:rsid w:val="002145DD"/>
    <w:rsid w:val="00217A3A"/>
    <w:rsid w:val="00251A79"/>
    <w:rsid w:val="00261DA6"/>
    <w:rsid w:val="00280087"/>
    <w:rsid w:val="00285DA1"/>
    <w:rsid w:val="002925E1"/>
    <w:rsid w:val="002B732B"/>
    <w:rsid w:val="002C3443"/>
    <w:rsid w:val="002C7632"/>
    <w:rsid w:val="002E4275"/>
    <w:rsid w:val="002E51CC"/>
    <w:rsid w:val="00316796"/>
    <w:rsid w:val="0033281F"/>
    <w:rsid w:val="00341639"/>
    <w:rsid w:val="00357FF5"/>
    <w:rsid w:val="00365D05"/>
    <w:rsid w:val="003A4200"/>
    <w:rsid w:val="003B628B"/>
    <w:rsid w:val="003B63D3"/>
    <w:rsid w:val="003C15E7"/>
    <w:rsid w:val="003C2143"/>
    <w:rsid w:val="003C5A82"/>
    <w:rsid w:val="003E69B0"/>
    <w:rsid w:val="003F206F"/>
    <w:rsid w:val="003F7BEF"/>
    <w:rsid w:val="004063F3"/>
    <w:rsid w:val="00412DFE"/>
    <w:rsid w:val="004224D9"/>
    <w:rsid w:val="00427FDE"/>
    <w:rsid w:val="004350ED"/>
    <w:rsid w:val="00452133"/>
    <w:rsid w:val="004711B7"/>
    <w:rsid w:val="004E60BF"/>
    <w:rsid w:val="004F24E7"/>
    <w:rsid w:val="00500183"/>
    <w:rsid w:val="00506720"/>
    <w:rsid w:val="00507335"/>
    <w:rsid w:val="005239F8"/>
    <w:rsid w:val="005316CF"/>
    <w:rsid w:val="00533610"/>
    <w:rsid w:val="0053719D"/>
    <w:rsid w:val="00543364"/>
    <w:rsid w:val="005476BB"/>
    <w:rsid w:val="00552C04"/>
    <w:rsid w:val="00581460"/>
    <w:rsid w:val="005900C0"/>
    <w:rsid w:val="0059213B"/>
    <w:rsid w:val="005958B6"/>
    <w:rsid w:val="005B019A"/>
    <w:rsid w:val="005D7705"/>
    <w:rsid w:val="005F5B98"/>
    <w:rsid w:val="00610E19"/>
    <w:rsid w:val="006231A1"/>
    <w:rsid w:val="00640942"/>
    <w:rsid w:val="00661225"/>
    <w:rsid w:val="006656E1"/>
    <w:rsid w:val="006671D7"/>
    <w:rsid w:val="00673BCA"/>
    <w:rsid w:val="00685615"/>
    <w:rsid w:val="006B3158"/>
    <w:rsid w:val="006C57E2"/>
    <w:rsid w:val="006D1114"/>
    <w:rsid w:val="006E2CF5"/>
    <w:rsid w:val="00715E09"/>
    <w:rsid w:val="00746E99"/>
    <w:rsid w:val="0076479D"/>
    <w:rsid w:val="00770A79"/>
    <w:rsid w:val="0077197B"/>
    <w:rsid w:val="00782A86"/>
    <w:rsid w:val="00791F58"/>
    <w:rsid w:val="0079385E"/>
    <w:rsid w:val="007C0514"/>
    <w:rsid w:val="007C49B6"/>
    <w:rsid w:val="007D0D59"/>
    <w:rsid w:val="008120CB"/>
    <w:rsid w:val="00812CDC"/>
    <w:rsid w:val="00814B43"/>
    <w:rsid w:val="00825477"/>
    <w:rsid w:val="0088203D"/>
    <w:rsid w:val="008918DE"/>
    <w:rsid w:val="008D213C"/>
    <w:rsid w:val="008E2603"/>
    <w:rsid w:val="008F7ADC"/>
    <w:rsid w:val="00924961"/>
    <w:rsid w:val="00944C49"/>
    <w:rsid w:val="0095455E"/>
    <w:rsid w:val="00965723"/>
    <w:rsid w:val="009754D3"/>
    <w:rsid w:val="009E5FF1"/>
    <w:rsid w:val="00A002A4"/>
    <w:rsid w:val="00A12729"/>
    <w:rsid w:val="00A40E68"/>
    <w:rsid w:val="00A44143"/>
    <w:rsid w:val="00A6648C"/>
    <w:rsid w:val="00A86981"/>
    <w:rsid w:val="00AA0040"/>
    <w:rsid w:val="00AB2F26"/>
    <w:rsid w:val="00AB3568"/>
    <w:rsid w:val="00AE1333"/>
    <w:rsid w:val="00B119D2"/>
    <w:rsid w:val="00B2127C"/>
    <w:rsid w:val="00B22007"/>
    <w:rsid w:val="00B30064"/>
    <w:rsid w:val="00B43A5D"/>
    <w:rsid w:val="00B45547"/>
    <w:rsid w:val="00B63086"/>
    <w:rsid w:val="00B66EFA"/>
    <w:rsid w:val="00B724E2"/>
    <w:rsid w:val="00B7620A"/>
    <w:rsid w:val="00BA10B7"/>
    <w:rsid w:val="00BB2C99"/>
    <w:rsid w:val="00BD5DE4"/>
    <w:rsid w:val="00BF1AE4"/>
    <w:rsid w:val="00BF61BF"/>
    <w:rsid w:val="00C279FE"/>
    <w:rsid w:val="00C325BB"/>
    <w:rsid w:val="00C620CC"/>
    <w:rsid w:val="00CC051F"/>
    <w:rsid w:val="00CD1F4B"/>
    <w:rsid w:val="00CE251F"/>
    <w:rsid w:val="00D03FAF"/>
    <w:rsid w:val="00D27885"/>
    <w:rsid w:val="00D316FA"/>
    <w:rsid w:val="00D429C4"/>
    <w:rsid w:val="00D4534A"/>
    <w:rsid w:val="00D669F4"/>
    <w:rsid w:val="00D84F45"/>
    <w:rsid w:val="00D91887"/>
    <w:rsid w:val="00DA23BD"/>
    <w:rsid w:val="00DC4B26"/>
    <w:rsid w:val="00DD190F"/>
    <w:rsid w:val="00DD6C7F"/>
    <w:rsid w:val="00DF129F"/>
    <w:rsid w:val="00E02D42"/>
    <w:rsid w:val="00E079E0"/>
    <w:rsid w:val="00E50752"/>
    <w:rsid w:val="00E64A2D"/>
    <w:rsid w:val="00E741B3"/>
    <w:rsid w:val="00E80711"/>
    <w:rsid w:val="00E9302F"/>
    <w:rsid w:val="00EA0F01"/>
    <w:rsid w:val="00EB2CB1"/>
    <w:rsid w:val="00EB4B41"/>
    <w:rsid w:val="00ED6154"/>
    <w:rsid w:val="00EF0162"/>
    <w:rsid w:val="00EF392D"/>
    <w:rsid w:val="00F3796C"/>
    <w:rsid w:val="00F46DCE"/>
    <w:rsid w:val="00F532A3"/>
    <w:rsid w:val="00F62C21"/>
    <w:rsid w:val="00F63AAB"/>
    <w:rsid w:val="00F835F0"/>
    <w:rsid w:val="00F97D27"/>
    <w:rsid w:val="00FA1DD0"/>
    <w:rsid w:val="00FB339B"/>
    <w:rsid w:val="248409BE"/>
    <w:rsid w:val="3BEB6A1F"/>
    <w:rsid w:val="3C1B685C"/>
    <w:rsid w:val="5438097E"/>
    <w:rsid w:val="5E4A7BE4"/>
    <w:rsid w:val="6BD5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Char2 Char Char Char1"/>
    <w:basedOn w:val="1"/>
    <w:qFormat/>
    <w:uiPriority w:val="0"/>
    <w:pPr>
      <w:widowControl/>
      <w:spacing w:after="160" w:line="240" w:lineRule="exact"/>
      <w:jc w:val="left"/>
    </w:pPr>
    <w:rPr>
      <w:rFonts w:ascii="Times New Roman" w:hAnsi="Times New Roman" w:eastAsia="方正仿宋_GBK" w:cs="Times New Roman"/>
      <w:snapToGrid w:val="0"/>
      <w:kern w:val="0"/>
      <w:sz w:val="32"/>
      <w:szCs w:val="20"/>
    </w:rPr>
  </w:style>
  <w:style w:type="paragraph" w:customStyle="1" w:styleId="8">
    <w:name w:val="p0"/>
    <w:basedOn w:val="1"/>
    <w:qFormat/>
    <w:uiPriority w:val="0"/>
    <w:pPr>
      <w:widowControl/>
      <w:jc w:val="left"/>
    </w:pPr>
    <w:rPr>
      <w:rFonts w:ascii="宋体" w:hAnsi="宋体" w:cs="宋体"/>
      <w:kern w:val="0"/>
      <w:sz w:val="24"/>
      <w:szCs w:val="24"/>
    </w:rPr>
  </w:style>
  <w:style w:type="paragraph" w:customStyle="1" w:styleId="9">
    <w:name w:val="Char2 Char Char Char11"/>
    <w:basedOn w:val="1"/>
    <w:qFormat/>
    <w:uiPriority w:val="0"/>
    <w:pPr>
      <w:widowControl/>
      <w:spacing w:after="160" w:line="240" w:lineRule="exact"/>
      <w:jc w:val="left"/>
    </w:pPr>
    <w:rPr>
      <w:rFonts w:ascii="Times New Roman" w:hAnsi="Times New Roman" w:eastAsia="方正仿宋_GBK" w:cs="Times New Roman"/>
      <w:snapToGrid w:val="0"/>
      <w:kern w:val="0"/>
      <w:sz w:val="32"/>
      <w:szCs w:val="20"/>
    </w:rPr>
  </w:style>
  <w:style w:type="character" w:customStyle="1" w:styleId="10">
    <w:name w:val="页眉 字符"/>
    <w:basedOn w:val="6"/>
    <w:link w:val="3"/>
    <w:semiHidden/>
    <w:qFormat/>
    <w:uiPriority w:val="99"/>
    <w:rPr>
      <w:rFonts w:ascii="Calibri" w:hAnsi="Calibri" w:eastAsia="宋体" w:cs="黑体"/>
      <w:kern w:val="2"/>
      <w:sz w:val="18"/>
      <w:szCs w:val="18"/>
    </w:rPr>
  </w:style>
  <w:style w:type="character" w:customStyle="1" w:styleId="11">
    <w:name w:val="页脚 字符"/>
    <w:basedOn w:val="6"/>
    <w:link w:val="2"/>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6447</Words>
  <Characters>6502</Characters>
  <Lines>46</Lines>
  <Paragraphs>13</Paragraphs>
  <TotalTime>4</TotalTime>
  <ScaleCrop>false</ScaleCrop>
  <LinksUpToDate>false</LinksUpToDate>
  <CharactersWithSpaces>6503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2020-04-06T14:47:00Z</dcterms:created>
  <dc:creator>LENOVO</dc:creator>
  <cp:lastModifiedBy>宝“” bao七</cp:lastModifiedBy>
  <cp:lastPrinted>2020-04-16T04:33:00Z</cp:lastPrinted>
  <dcterms:modified xsi:type="dcterms:W3CDTF">2024-09-18T06:55:02Z</dcterms:modified>
  <dc:title>2019年工作总结</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0CCEBACA25E749A3A1AED04D2A2CBA62_12</vt:lpwstr>
  </property>
</Properties>
</file>