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1F36F4" w:rsidRPr="001F36F4">
        <w:trPr>
          <w:trHeight w:val="975"/>
          <w:tblCellSpacing w:w="0" w:type="dxa"/>
          <w:jc w:val="center"/>
        </w:trPr>
        <w:tc>
          <w:tcPr>
            <w:tcW w:w="0" w:type="auto"/>
            <w:vAlign w:val="center"/>
            <w:hideMark/>
          </w:tcPr>
          <w:p w:rsidR="001F36F4" w:rsidRPr="001F36F4" w:rsidRDefault="001F36F4" w:rsidP="001F36F4">
            <w:pPr>
              <w:widowControl/>
              <w:spacing w:before="150" w:line="600" w:lineRule="atLeast"/>
              <w:jc w:val="center"/>
              <w:rPr>
                <w:rFonts w:ascii="微软雅黑" w:eastAsia="微软雅黑" w:hAnsi="微软雅黑" w:cs="宋体"/>
                <w:b/>
                <w:bCs/>
                <w:color w:val="000000" w:themeColor="text1"/>
                <w:kern w:val="0"/>
                <w:sz w:val="35"/>
                <w:szCs w:val="35"/>
              </w:rPr>
            </w:pPr>
            <w:r w:rsidRPr="001F36F4">
              <w:rPr>
                <w:rFonts w:ascii="微软雅黑" w:eastAsia="微软雅黑" w:hAnsi="微软雅黑" w:cs="宋体" w:hint="eastAsia"/>
                <w:b/>
                <w:bCs/>
                <w:color w:val="000000" w:themeColor="text1"/>
                <w:kern w:val="0"/>
                <w:sz w:val="35"/>
                <w:szCs w:val="35"/>
              </w:rPr>
              <w:t>淮安市矿产资源总体规划 （2016-2020年）</w:t>
            </w:r>
          </w:p>
        </w:tc>
      </w:tr>
    </w:tbl>
    <w:p w:rsidR="001F36F4" w:rsidRPr="001F36F4" w:rsidRDefault="001F36F4" w:rsidP="001F36F4">
      <w:pPr>
        <w:widowControl/>
        <w:jc w:val="center"/>
        <w:rPr>
          <w:rFonts w:ascii="微软雅黑" w:eastAsia="微软雅黑" w:hAnsi="微软雅黑" w:cs="宋体"/>
          <w:vanish/>
          <w:color w:val="000000" w:themeColor="text1"/>
          <w:kern w:val="0"/>
          <w:sz w:val="20"/>
          <w:szCs w:val="20"/>
        </w:rPr>
      </w:pPr>
    </w:p>
    <w:tbl>
      <w:tblPr>
        <w:tblW w:w="5000" w:type="pct"/>
        <w:jc w:val="center"/>
        <w:tblCellSpacing w:w="0" w:type="dxa"/>
        <w:tblCellMar>
          <w:left w:w="0" w:type="dxa"/>
          <w:right w:w="0" w:type="dxa"/>
        </w:tblCellMar>
        <w:tblLook w:val="04A0"/>
      </w:tblPr>
      <w:tblGrid>
        <w:gridCol w:w="8306"/>
      </w:tblGrid>
      <w:tr w:rsidR="001F36F4" w:rsidRPr="001F36F4">
        <w:trPr>
          <w:trHeight w:val="30"/>
          <w:tblCellSpacing w:w="0" w:type="dxa"/>
          <w:jc w:val="center"/>
        </w:trPr>
        <w:tc>
          <w:tcPr>
            <w:tcW w:w="0" w:type="auto"/>
            <w:vAlign w:val="center"/>
            <w:hideMark/>
          </w:tcPr>
          <w:p w:rsidR="001F36F4" w:rsidRPr="001F36F4" w:rsidRDefault="001F36F4" w:rsidP="001F36F4">
            <w:pPr>
              <w:widowControl/>
              <w:spacing w:before="120" w:line="30" w:lineRule="atLeast"/>
              <w:jc w:val="center"/>
              <w:rPr>
                <w:rFonts w:ascii="微软雅黑" w:eastAsia="微软雅黑" w:hAnsi="微软雅黑" w:cs="宋体"/>
                <w:color w:val="000000" w:themeColor="text1"/>
                <w:kern w:val="0"/>
                <w:sz w:val="20"/>
                <w:szCs w:val="20"/>
              </w:rPr>
            </w:pPr>
            <w:r w:rsidRPr="002019BA">
              <w:rPr>
                <w:rFonts w:ascii="微软雅黑" w:eastAsia="微软雅黑" w:hAnsi="微软雅黑" w:cs="宋体"/>
                <w:noProof/>
                <w:color w:val="000000" w:themeColor="text1"/>
                <w:kern w:val="0"/>
                <w:sz w:val="20"/>
                <w:szCs w:val="20"/>
              </w:rPr>
              <w:drawing>
                <wp:inline distT="0" distB="0" distL="0" distR="0">
                  <wp:extent cx="9677400" cy="66675"/>
                  <wp:effectExtent l="19050" t="0" r="0" b="0"/>
                  <wp:docPr id="1" name="图片 1" descr="http://www.jsmlr.gov.cn/gtwzqxxgk/images/2016gjy-xi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smlr.gov.cn/gtwzqxxgk/images/2016gjy-xian.png"/>
                          <pic:cNvPicPr>
                            <a:picLocks noChangeAspect="1" noChangeArrowheads="1"/>
                          </pic:cNvPicPr>
                        </pic:nvPicPr>
                        <pic:blipFill>
                          <a:blip r:embed="rId4" cstate="print"/>
                          <a:srcRect/>
                          <a:stretch>
                            <a:fillRect/>
                          </a:stretch>
                        </pic:blipFill>
                        <pic:spPr bwMode="auto">
                          <a:xfrm>
                            <a:off x="0" y="0"/>
                            <a:ext cx="9677400" cy="66675"/>
                          </a:xfrm>
                          <a:prstGeom prst="rect">
                            <a:avLst/>
                          </a:prstGeom>
                          <a:noFill/>
                          <a:ln w="9525">
                            <a:noFill/>
                            <a:miter lim="800000"/>
                            <a:headEnd/>
                            <a:tailEnd/>
                          </a:ln>
                        </pic:spPr>
                      </pic:pic>
                    </a:graphicData>
                  </a:graphic>
                </wp:inline>
              </w:drawing>
            </w:r>
          </w:p>
        </w:tc>
      </w:tr>
    </w:tbl>
    <w:p w:rsidR="001F36F4" w:rsidRPr="001F36F4" w:rsidRDefault="001F36F4" w:rsidP="001F36F4">
      <w:pPr>
        <w:widowControl/>
        <w:jc w:val="center"/>
        <w:rPr>
          <w:rFonts w:ascii="微软雅黑" w:eastAsia="微软雅黑" w:hAnsi="微软雅黑" w:cs="宋体"/>
          <w:vanish/>
          <w:color w:val="000000" w:themeColor="text1"/>
          <w:kern w:val="0"/>
          <w:sz w:val="20"/>
          <w:szCs w:val="20"/>
        </w:rPr>
      </w:pPr>
    </w:p>
    <w:tbl>
      <w:tblPr>
        <w:tblW w:w="5000" w:type="pct"/>
        <w:jc w:val="center"/>
        <w:tblCellSpacing w:w="0" w:type="dxa"/>
        <w:tblCellMar>
          <w:left w:w="0" w:type="dxa"/>
          <w:right w:w="0" w:type="dxa"/>
        </w:tblCellMar>
        <w:tblLook w:val="04A0"/>
      </w:tblPr>
      <w:tblGrid>
        <w:gridCol w:w="8306"/>
      </w:tblGrid>
      <w:tr w:rsidR="001F36F4" w:rsidRPr="001F36F4">
        <w:trPr>
          <w:tblCellSpacing w:w="0" w:type="dxa"/>
          <w:jc w:val="center"/>
        </w:trPr>
        <w:tc>
          <w:tcPr>
            <w:tcW w:w="0" w:type="auto"/>
            <w:hideMark/>
          </w:tcPr>
          <w:p w:rsidR="001F36F4" w:rsidRPr="001F36F4" w:rsidRDefault="001F36F4" w:rsidP="001F36F4">
            <w:pPr>
              <w:widowControl/>
              <w:spacing w:line="420" w:lineRule="atLeast"/>
              <w:jc w:val="center"/>
              <w:outlineLvl w:val="0"/>
              <w:rPr>
                <w:rFonts w:ascii="微软雅黑" w:eastAsia="微软雅黑" w:hAnsi="微软雅黑" w:cs="宋体" w:hint="eastAsia"/>
                <w:color w:val="000000" w:themeColor="text1"/>
                <w:kern w:val="36"/>
                <w:sz w:val="48"/>
                <w:szCs w:val="48"/>
              </w:rPr>
            </w:pPr>
            <w:bookmarkStart w:id="0" w:name="_Toc465119630"/>
            <w:bookmarkEnd w:id="0"/>
            <w:r w:rsidRPr="001F36F4">
              <w:rPr>
                <w:rFonts w:ascii="微软雅黑" w:eastAsia="微软雅黑" w:hAnsi="微软雅黑" w:cs="宋体" w:hint="eastAsia"/>
                <w:color w:val="000000" w:themeColor="text1"/>
                <w:kern w:val="36"/>
                <w:sz w:val="48"/>
                <w:szCs w:val="48"/>
              </w:rPr>
              <w:t xml:space="preserve">第一章  总 则 </w:t>
            </w:r>
          </w:p>
          <w:p w:rsidR="001F36F4" w:rsidRPr="001F36F4" w:rsidRDefault="001F36F4" w:rsidP="001F36F4">
            <w:pPr>
              <w:widowControl/>
              <w:spacing w:before="100" w:beforeAutospacing="1" w:after="100" w:afterAutospacing="1" w:line="420" w:lineRule="atLeast"/>
              <w:ind w:firstLine="643"/>
              <w:jc w:val="left"/>
              <w:outlineLvl w:val="1"/>
              <w:rPr>
                <w:rFonts w:ascii="微软雅黑" w:eastAsia="微软雅黑" w:hAnsi="微软雅黑" w:cs="宋体" w:hint="eastAsia"/>
                <w:b/>
                <w:bCs/>
                <w:color w:val="000000" w:themeColor="text1"/>
                <w:kern w:val="0"/>
                <w:sz w:val="36"/>
                <w:szCs w:val="36"/>
              </w:rPr>
            </w:pPr>
            <w:bookmarkStart w:id="1" w:name="_Toc234250809"/>
            <w:bookmarkStart w:id="2" w:name="_Toc244403031"/>
            <w:bookmarkStart w:id="3" w:name="_Toc434196986"/>
            <w:bookmarkStart w:id="4" w:name="_Toc465119631"/>
            <w:bookmarkEnd w:id="1"/>
            <w:bookmarkEnd w:id="2"/>
            <w:bookmarkEnd w:id="3"/>
            <w:bookmarkEnd w:id="4"/>
            <w:r w:rsidRPr="001F36F4">
              <w:rPr>
                <w:rFonts w:ascii="微软雅黑" w:eastAsia="微软雅黑" w:hAnsi="微软雅黑" w:cs="宋体" w:hint="eastAsia"/>
                <w:b/>
                <w:bCs/>
                <w:color w:val="000000" w:themeColor="text1"/>
                <w:kern w:val="0"/>
                <w:sz w:val="36"/>
                <w:szCs w:val="36"/>
              </w:rPr>
              <w:t xml:space="preserve">一、规划编制的目的、依据 </w:t>
            </w:r>
          </w:p>
          <w:p w:rsidR="001F36F4" w:rsidRPr="001F36F4" w:rsidRDefault="001F36F4" w:rsidP="001F36F4">
            <w:pPr>
              <w:widowControl/>
              <w:spacing w:before="100" w:beforeAutospacing="1" w:after="100" w:afterAutospacing="1" w:line="420" w:lineRule="atLeast"/>
              <w:ind w:firstLine="643"/>
              <w:jc w:val="left"/>
              <w:outlineLvl w:val="2"/>
              <w:rPr>
                <w:rFonts w:ascii="微软雅黑" w:eastAsia="微软雅黑" w:hAnsi="微软雅黑" w:cs="宋体" w:hint="eastAsia"/>
                <w:b/>
                <w:bCs/>
                <w:color w:val="000000" w:themeColor="text1"/>
                <w:kern w:val="0"/>
                <w:sz w:val="27"/>
                <w:szCs w:val="27"/>
              </w:rPr>
            </w:pPr>
            <w:bookmarkStart w:id="5" w:name="_Toc434196987"/>
            <w:bookmarkEnd w:id="5"/>
            <w:r w:rsidRPr="001F36F4">
              <w:rPr>
                <w:rFonts w:ascii="微软雅黑" w:eastAsia="微软雅黑" w:hAnsi="微软雅黑" w:cs="宋体" w:hint="eastAsia"/>
                <w:b/>
                <w:bCs/>
                <w:color w:val="000000" w:themeColor="text1"/>
                <w:kern w:val="0"/>
                <w:sz w:val="27"/>
                <w:szCs w:val="27"/>
              </w:rPr>
              <w:t xml:space="preserve">（一）目的 </w:t>
            </w:r>
          </w:p>
          <w:p w:rsidR="001F36F4" w:rsidRPr="001F36F4" w:rsidRDefault="001F36F4" w:rsidP="001F36F4">
            <w:pPr>
              <w:widowControl/>
              <w:spacing w:line="420" w:lineRule="atLeast"/>
              <w:ind w:firstLine="560"/>
              <w:jc w:val="left"/>
              <w:rPr>
                <w:rFonts w:ascii="微软雅黑" w:eastAsia="微软雅黑" w:hAnsi="微软雅黑" w:cs="宋体" w:hint="eastAsia"/>
                <w:color w:val="000000" w:themeColor="text1"/>
                <w:kern w:val="0"/>
                <w:sz w:val="24"/>
                <w:szCs w:val="24"/>
              </w:rPr>
            </w:pPr>
            <w:r w:rsidRPr="001F36F4">
              <w:rPr>
                <w:rFonts w:ascii="微软雅黑" w:eastAsia="微软雅黑" w:hAnsi="微软雅黑" w:cs="宋体" w:hint="eastAsia"/>
                <w:color w:val="000000" w:themeColor="text1"/>
                <w:kern w:val="0"/>
                <w:sz w:val="24"/>
                <w:szCs w:val="24"/>
              </w:rPr>
              <w:t xml:space="preserve">为贯彻党的十八大提出的在经济社会发展新常态下全面协调可持续发展的要求,落实《江苏省矿产资源规划（2016-2020年）》和《淮安市国民经济和社会发展第十三个五年规划纲要》任务，适应“尽职尽责保护国土资源，节约集约利用国土资源，尽心尽力维护群众权益”的国土资源工作职责新定位,深化矿产资源管理改革，加强对淮安市矿产资源勘查和开发利用的宏观调控，发挥市场配置资源的决定性作用，着力保护矿山地质环境，促进矿业与经济社会的协调发展，制定《淮安市矿产资源总体规划（2016-2020年）》（以下简称规划）。 </w:t>
            </w:r>
          </w:p>
          <w:p w:rsidR="001F36F4" w:rsidRPr="001F36F4" w:rsidRDefault="001F36F4" w:rsidP="001F36F4">
            <w:pPr>
              <w:widowControl/>
              <w:spacing w:before="100" w:beforeAutospacing="1" w:after="100" w:afterAutospacing="1" w:line="420" w:lineRule="atLeast"/>
              <w:ind w:firstLine="643"/>
              <w:jc w:val="left"/>
              <w:outlineLvl w:val="2"/>
              <w:rPr>
                <w:rFonts w:ascii="微软雅黑" w:eastAsia="微软雅黑" w:hAnsi="微软雅黑" w:cs="宋体" w:hint="eastAsia"/>
                <w:b/>
                <w:bCs/>
                <w:color w:val="000000" w:themeColor="text1"/>
                <w:kern w:val="0"/>
                <w:sz w:val="27"/>
                <w:szCs w:val="27"/>
              </w:rPr>
            </w:pPr>
            <w:bookmarkStart w:id="6" w:name="_Toc434196988"/>
            <w:bookmarkEnd w:id="6"/>
            <w:r w:rsidRPr="001F36F4">
              <w:rPr>
                <w:rFonts w:ascii="微软雅黑" w:eastAsia="微软雅黑" w:hAnsi="微软雅黑" w:cs="宋体" w:hint="eastAsia"/>
                <w:b/>
                <w:bCs/>
                <w:color w:val="000000" w:themeColor="text1"/>
                <w:kern w:val="0"/>
                <w:sz w:val="27"/>
                <w:szCs w:val="27"/>
              </w:rPr>
              <w:t xml:space="preserve">（二）主要依据 </w:t>
            </w:r>
          </w:p>
          <w:p w:rsidR="001F36F4" w:rsidRPr="001F36F4" w:rsidRDefault="001F36F4" w:rsidP="001F36F4">
            <w:pPr>
              <w:widowControl/>
              <w:spacing w:line="420" w:lineRule="atLeast"/>
              <w:ind w:firstLine="560"/>
              <w:jc w:val="left"/>
              <w:rPr>
                <w:rFonts w:ascii="微软雅黑" w:eastAsia="微软雅黑" w:hAnsi="微软雅黑" w:cs="宋体" w:hint="eastAsia"/>
                <w:color w:val="000000" w:themeColor="text1"/>
                <w:kern w:val="0"/>
                <w:sz w:val="24"/>
                <w:szCs w:val="24"/>
              </w:rPr>
            </w:pPr>
            <w:r w:rsidRPr="001F36F4">
              <w:rPr>
                <w:rFonts w:ascii="微软雅黑" w:eastAsia="微软雅黑" w:hAnsi="微软雅黑" w:cs="宋体" w:hint="eastAsia"/>
                <w:color w:val="000000" w:themeColor="text1"/>
                <w:kern w:val="0"/>
                <w:sz w:val="24"/>
                <w:szCs w:val="24"/>
              </w:rPr>
              <w:t>《规划》编制的主要依据是：《中华人民共和国矿产资源法》、《国务院关于加强地质工作的决定》、《江苏省矿产资源管理条例》、《江苏省人民代表大会常务委员会关于限制开山采石的决定》、《江苏省人民代表大会常务委员会关于加强环境综合整治推进生态省建设的决定》、《江苏省地质环境保护条例》、《江苏省发展新型墙</w:t>
            </w:r>
            <w:proofErr w:type="gramStart"/>
            <w:r w:rsidRPr="001F36F4">
              <w:rPr>
                <w:rFonts w:ascii="微软雅黑" w:eastAsia="微软雅黑" w:hAnsi="微软雅黑" w:cs="宋体" w:hint="eastAsia"/>
                <w:color w:val="000000" w:themeColor="text1"/>
                <w:kern w:val="0"/>
                <w:sz w:val="24"/>
                <w:szCs w:val="24"/>
              </w:rPr>
              <w:t>体材</w:t>
            </w:r>
            <w:proofErr w:type="gramEnd"/>
            <w:r w:rsidRPr="001F36F4">
              <w:rPr>
                <w:rFonts w:ascii="微软雅黑" w:eastAsia="微软雅黑" w:hAnsi="微软雅黑" w:cs="宋体" w:hint="eastAsia"/>
                <w:color w:val="000000" w:themeColor="text1"/>
                <w:kern w:val="0"/>
                <w:sz w:val="24"/>
                <w:szCs w:val="24"/>
              </w:rPr>
              <w:t>料条例》等法律法规，《矿山地质环境保护规定》（国土资源部令第44号，2009年3月）、《矿产资源规划编制实施办法》（国土</w:t>
            </w:r>
            <w:r w:rsidRPr="001F36F4">
              <w:rPr>
                <w:rFonts w:ascii="微软雅黑" w:eastAsia="微软雅黑" w:hAnsi="微软雅黑" w:cs="宋体" w:hint="eastAsia"/>
                <w:color w:val="000000" w:themeColor="text1"/>
                <w:kern w:val="0"/>
                <w:sz w:val="24"/>
                <w:szCs w:val="24"/>
              </w:rPr>
              <w:lastRenderedPageBreak/>
              <w:t>资源部令第55号，2012年10月）、《江苏省人民政府关于加强地质工作的实施意见》、《国务院关于加强</w:t>
            </w:r>
            <w:bookmarkStart w:id="7" w:name="baidusnap1"/>
            <w:bookmarkEnd w:id="7"/>
            <w:r w:rsidRPr="001F36F4">
              <w:rPr>
                <w:rFonts w:ascii="微软雅黑" w:eastAsia="微软雅黑" w:hAnsi="微软雅黑" w:cs="宋体" w:hint="eastAsia"/>
                <w:color w:val="000000" w:themeColor="text1"/>
                <w:kern w:val="0"/>
                <w:sz w:val="24"/>
                <w:szCs w:val="24"/>
              </w:rPr>
              <w:t>地质灾害防治工作的决定》（国发〔2011〕20号）、《市县级矿产资源总体规划编制指导意见》（国土资源部2015年3月）、《江苏省矿产资源总体规划》(2016-2020年)</w:t>
            </w:r>
            <w:proofErr w:type="gramStart"/>
            <w:r w:rsidRPr="001F36F4">
              <w:rPr>
                <w:rFonts w:ascii="微软雅黑" w:eastAsia="微软雅黑" w:hAnsi="微软雅黑" w:cs="宋体" w:hint="eastAsia"/>
                <w:color w:val="000000" w:themeColor="text1"/>
                <w:kern w:val="0"/>
                <w:sz w:val="24"/>
                <w:szCs w:val="24"/>
              </w:rPr>
              <w:t>》</w:t>
            </w:r>
            <w:proofErr w:type="gramEnd"/>
            <w:r w:rsidRPr="001F36F4">
              <w:rPr>
                <w:rFonts w:ascii="微软雅黑" w:eastAsia="微软雅黑" w:hAnsi="微软雅黑" w:cs="宋体" w:hint="eastAsia"/>
                <w:color w:val="000000" w:themeColor="text1"/>
                <w:kern w:val="0"/>
                <w:sz w:val="24"/>
                <w:szCs w:val="24"/>
              </w:rPr>
              <w:t xml:space="preserve">、《淮安市国民经济和社会发展第十三个五年规划纲要》、《淮安市生态市建设规划（修编）》等国家和省、市有关规划、文件，同时考虑淮安市矿产资源特点、开发利用现状、矿产品供需及经济社会发展趋势等实际情况。 </w:t>
            </w:r>
          </w:p>
          <w:p w:rsidR="001F36F4" w:rsidRPr="001F36F4" w:rsidRDefault="001F36F4" w:rsidP="001F36F4">
            <w:pPr>
              <w:widowControl/>
              <w:spacing w:before="100" w:beforeAutospacing="1" w:after="100" w:afterAutospacing="1" w:line="420" w:lineRule="atLeast"/>
              <w:ind w:firstLine="643"/>
              <w:jc w:val="left"/>
              <w:outlineLvl w:val="1"/>
              <w:rPr>
                <w:rFonts w:ascii="微软雅黑" w:eastAsia="微软雅黑" w:hAnsi="微软雅黑" w:cs="宋体" w:hint="eastAsia"/>
                <w:b/>
                <w:bCs/>
                <w:color w:val="000000" w:themeColor="text1"/>
                <w:kern w:val="0"/>
                <w:sz w:val="36"/>
                <w:szCs w:val="36"/>
              </w:rPr>
            </w:pPr>
            <w:bookmarkStart w:id="8" w:name="_Toc234250810"/>
            <w:bookmarkStart w:id="9" w:name="_Toc244403032"/>
            <w:bookmarkStart w:id="10" w:name="_Toc434196989"/>
            <w:bookmarkStart w:id="11" w:name="_Toc465119632"/>
            <w:bookmarkEnd w:id="8"/>
            <w:bookmarkEnd w:id="9"/>
            <w:bookmarkEnd w:id="10"/>
            <w:bookmarkEnd w:id="11"/>
            <w:r w:rsidRPr="001F36F4">
              <w:rPr>
                <w:rFonts w:ascii="微软雅黑" w:eastAsia="微软雅黑" w:hAnsi="微软雅黑" w:cs="宋体" w:hint="eastAsia"/>
                <w:b/>
                <w:bCs/>
                <w:color w:val="000000" w:themeColor="text1"/>
                <w:kern w:val="0"/>
                <w:sz w:val="36"/>
                <w:szCs w:val="36"/>
              </w:rPr>
              <w:t>二、规划适用范围、适用年限和</w:t>
            </w:r>
            <w:proofErr w:type="gramStart"/>
            <w:r w:rsidRPr="001F36F4">
              <w:rPr>
                <w:rFonts w:ascii="微软雅黑" w:eastAsia="微软雅黑" w:hAnsi="微软雅黑" w:cs="宋体" w:hint="eastAsia"/>
                <w:b/>
                <w:bCs/>
                <w:color w:val="000000" w:themeColor="text1"/>
                <w:kern w:val="0"/>
                <w:sz w:val="36"/>
                <w:szCs w:val="36"/>
              </w:rPr>
              <w:t>基期年</w:t>
            </w:r>
            <w:proofErr w:type="gramEnd"/>
            <w:r w:rsidRPr="001F36F4">
              <w:rPr>
                <w:rFonts w:ascii="微软雅黑" w:eastAsia="微软雅黑" w:hAnsi="微软雅黑" w:cs="宋体" w:hint="eastAsia"/>
                <w:b/>
                <w:bCs/>
                <w:color w:val="000000" w:themeColor="text1"/>
                <w:kern w:val="0"/>
                <w:sz w:val="36"/>
                <w:szCs w:val="36"/>
              </w:rPr>
              <w:t xml:space="preserve"> </w:t>
            </w:r>
          </w:p>
          <w:p w:rsidR="001F36F4" w:rsidRPr="001F36F4" w:rsidRDefault="001F36F4" w:rsidP="001F36F4">
            <w:pPr>
              <w:widowControl/>
              <w:spacing w:line="420" w:lineRule="atLeast"/>
              <w:ind w:firstLine="560"/>
              <w:jc w:val="left"/>
              <w:rPr>
                <w:rFonts w:ascii="微软雅黑" w:eastAsia="微软雅黑" w:hAnsi="微软雅黑" w:cs="宋体" w:hint="eastAsia"/>
                <w:color w:val="000000" w:themeColor="text1"/>
                <w:kern w:val="0"/>
                <w:sz w:val="24"/>
                <w:szCs w:val="24"/>
              </w:rPr>
            </w:pPr>
            <w:r w:rsidRPr="001F36F4">
              <w:rPr>
                <w:rFonts w:ascii="微软雅黑" w:eastAsia="微软雅黑" w:hAnsi="微软雅黑" w:cs="宋体" w:hint="eastAsia"/>
                <w:color w:val="000000" w:themeColor="text1"/>
                <w:kern w:val="0"/>
                <w:sz w:val="24"/>
                <w:szCs w:val="24"/>
              </w:rPr>
              <w:t xml:space="preserve">《规划》是淮安市矿产资源勘查、开发利用与保护的指导性文件，是依法审批和监督管理矿产资源勘查和开发利用活动的重要依据，是加强宏观调控和矿产资源管理的基本手段。其适用范围为淮安市所辖行政区域。 </w:t>
            </w:r>
          </w:p>
          <w:p w:rsidR="001F36F4" w:rsidRPr="001F36F4" w:rsidRDefault="001F36F4" w:rsidP="001F36F4">
            <w:pPr>
              <w:widowControl/>
              <w:spacing w:line="420" w:lineRule="atLeast"/>
              <w:ind w:firstLine="560"/>
              <w:jc w:val="left"/>
              <w:rPr>
                <w:rFonts w:ascii="微软雅黑" w:eastAsia="微软雅黑" w:hAnsi="微软雅黑" w:cs="宋体" w:hint="eastAsia"/>
                <w:color w:val="000000" w:themeColor="text1"/>
                <w:kern w:val="0"/>
                <w:sz w:val="24"/>
                <w:szCs w:val="24"/>
              </w:rPr>
            </w:pPr>
            <w:r w:rsidRPr="001F36F4">
              <w:rPr>
                <w:rFonts w:ascii="微软雅黑" w:eastAsia="微软雅黑" w:hAnsi="微软雅黑" w:cs="宋体" w:hint="eastAsia"/>
                <w:color w:val="000000" w:themeColor="text1"/>
                <w:kern w:val="0"/>
                <w:sz w:val="24"/>
                <w:szCs w:val="24"/>
              </w:rPr>
              <w:t xml:space="preserve">《规划》以2015年为基期年，规划期为2016-2020年，规划展望到2025年。 </w:t>
            </w:r>
          </w:p>
          <w:p w:rsidR="001F36F4" w:rsidRPr="001F36F4" w:rsidRDefault="001F36F4" w:rsidP="001F36F4">
            <w:pPr>
              <w:widowControl/>
              <w:spacing w:line="420" w:lineRule="atLeast"/>
              <w:jc w:val="left"/>
              <w:rPr>
                <w:rFonts w:ascii="微软雅黑" w:eastAsia="微软雅黑" w:hAnsi="微软雅黑" w:cs="宋体" w:hint="eastAsia"/>
                <w:color w:val="000000" w:themeColor="text1"/>
                <w:kern w:val="0"/>
                <w:szCs w:val="21"/>
              </w:rPr>
            </w:pPr>
          </w:p>
          <w:p w:rsidR="001F36F4" w:rsidRPr="001F36F4" w:rsidRDefault="001F36F4" w:rsidP="001F36F4">
            <w:pPr>
              <w:widowControl/>
              <w:spacing w:line="420" w:lineRule="atLeast"/>
              <w:jc w:val="left"/>
              <w:rPr>
                <w:rFonts w:ascii="微软雅黑" w:eastAsia="微软雅黑" w:hAnsi="微软雅黑" w:cs="宋体" w:hint="eastAsia"/>
                <w:color w:val="000000" w:themeColor="text1"/>
                <w:kern w:val="0"/>
                <w:sz w:val="24"/>
                <w:szCs w:val="24"/>
              </w:rPr>
            </w:pPr>
            <w:r w:rsidRPr="001F36F4">
              <w:rPr>
                <w:rFonts w:ascii="微软雅黑" w:eastAsia="微软雅黑" w:hAnsi="微软雅黑" w:cs="宋体" w:hint="eastAsia"/>
                <w:color w:val="000000" w:themeColor="text1"/>
                <w:kern w:val="0"/>
                <w:sz w:val="24"/>
                <w:szCs w:val="24"/>
              </w:rPr>
              <w:t xml:space="preserve">  </w:t>
            </w:r>
          </w:p>
          <w:p w:rsidR="001F36F4" w:rsidRPr="001F36F4" w:rsidRDefault="001F36F4" w:rsidP="001F36F4">
            <w:pPr>
              <w:widowControl/>
              <w:spacing w:line="420" w:lineRule="atLeast"/>
              <w:jc w:val="center"/>
              <w:outlineLvl w:val="0"/>
              <w:rPr>
                <w:rFonts w:ascii="微软雅黑" w:eastAsia="微软雅黑" w:hAnsi="微软雅黑" w:cs="宋体" w:hint="eastAsia"/>
                <w:color w:val="000000" w:themeColor="text1"/>
                <w:kern w:val="36"/>
                <w:sz w:val="48"/>
                <w:szCs w:val="48"/>
              </w:rPr>
            </w:pPr>
            <w:bookmarkStart w:id="12" w:name="_Toc434196990"/>
            <w:bookmarkStart w:id="13" w:name="_Toc465119633"/>
            <w:bookmarkEnd w:id="12"/>
            <w:bookmarkEnd w:id="13"/>
            <w:r w:rsidRPr="001F36F4">
              <w:rPr>
                <w:rFonts w:ascii="微软雅黑" w:eastAsia="微软雅黑" w:hAnsi="微软雅黑" w:cs="宋体" w:hint="eastAsia"/>
                <w:color w:val="000000" w:themeColor="text1"/>
                <w:kern w:val="36"/>
                <w:sz w:val="48"/>
                <w:szCs w:val="48"/>
              </w:rPr>
              <w:t xml:space="preserve">第二章  现状与形势 </w:t>
            </w:r>
          </w:p>
          <w:p w:rsidR="001F36F4" w:rsidRPr="001F36F4" w:rsidRDefault="001F36F4" w:rsidP="001F36F4">
            <w:pPr>
              <w:widowControl/>
              <w:spacing w:before="100" w:beforeAutospacing="1" w:after="100" w:afterAutospacing="1" w:line="420" w:lineRule="atLeast"/>
              <w:ind w:firstLine="643"/>
              <w:jc w:val="left"/>
              <w:outlineLvl w:val="1"/>
              <w:rPr>
                <w:rFonts w:ascii="微软雅黑" w:eastAsia="微软雅黑" w:hAnsi="微软雅黑" w:cs="宋体" w:hint="eastAsia"/>
                <w:b/>
                <w:bCs/>
                <w:color w:val="000000" w:themeColor="text1"/>
                <w:kern w:val="0"/>
                <w:sz w:val="36"/>
                <w:szCs w:val="36"/>
              </w:rPr>
            </w:pPr>
            <w:bookmarkStart w:id="14" w:name="_Toc434196991"/>
            <w:bookmarkStart w:id="15" w:name="_Toc465119634"/>
            <w:bookmarkEnd w:id="14"/>
            <w:bookmarkEnd w:id="15"/>
            <w:r w:rsidRPr="001F36F4">
              <w:rPr>
                <w:rFonts w:ascii="微软雅黑" w:eastAsia="微软雅黑" w:hAnsi="微软雅黑" w:cs="宋体" w:hint="eastAsia"/>
                <w:b/>
                <w:bCs/>
                <w:color w:val="000000" w:themeColor="text1"/>
                <w:kern w:val="0"/>
                <w:sz w:val="36"/>
                <w:szCs w:val="36"/>
              </w:rPr>
              <w:t xml:space="preserve">一、现行矿产资源规划实施情况 </w:t>
            </w:r>
          </w:p>
          <w:p w:rsidR="001F36F4" w:rsidRPr="001F36F4" w:rsidRDefault="001F36F4" w:rsidP="001F36F4">
            <w:pPr>
              <w:widowControl/>
              <w:spacing w:line="420" w:lineRule="atLeast"/>
              <w:ind w:firstLine="560"/>
              <w:jc w:val="left"/>
              <w:rPr>
                <w:rFonts w:ascii="微软雅黑" w:eastAsia="微软雅黑" w:hAnsi="微软雅黑" w:cs="宋体" w:hint="eastAsia"/>
                <w:color w:val="000000" w:themeColor="text1"/>
                <w:kern w:val="0"/>
                <w:sz w:val="24"/>
                <w:szCs w:val="24"/>
              </w:rPr>
            </w:pPr>
            <w:bookmarkStart w:id="16" w:name="OLE_LINK4"/>
            <w:bookmarkEnd w:id="16"/>
            <w:r w:rsidRPr="001F36F4">
              <w:rPr>
                <w:rFonts w:ascii="微软雅黑" w:eastAsia="微软雅黑" w:hAnsi="微软雅黑" w:cs="宋体" w:hint="eastAsia"/>
                <w:color w:val="000000" w:themeColor="text1"/>
                <w:kern w:val="0"/>
                <w:sz w:val="24"/>
                <w:szCs w:val="24"/>
              </w:rPr>
              <w:t>淮安市第二轮矿产资源总体规划自发布实施以来，取得了显著的实施效果。确定的主要目标和规划指标基本完成了进度要求，各项规划目标任务得到分解落实。规划实施期间，全市矿产资源开发利用结构和布局不断优化，矿产资源节约</w:t>
            </w:r>
            <w:r w:rsidRPr="001F36F4">
              <w:rPr>
                <w:rFonts w:ascii="微软雅黑" w:eastAsia="微软雅黑" w:hAnsi="微软雅黑" w:cs="宋体" w:hint="eastAsia"/>
                <w:color w:val="000000" w:themeColor="text1"/>
                <w:kern w:val="0"/>
                <w:sz w:val="24"/>
                <w:szCs w:val="24"/>
              </w:rPr>
              <w:lastRenderedPageBreak/>
              <w:t xml:space="preserve">和综合利用水平进一步提升；矿产资源勘查与开采秩序良好，以绿色矿山建设为抓手的绿色矿业发展方式逐渐成型，矿山地质环境保护与治理恢复取得了一定的成效；矿业权设置方案管理制度实施效果良好，矿产资源管理能力不断提升。 </w:t>
            </w:r>
          </w:p>
          <w:p w:rsidR="001F36F4" w:rsidRPr="001F36F4" w:rsidRDefault="001F36F4" w:rsidP="001F36F4">
            <w:pPr>
              <w:widowControl/>
              <w:spacing w:before="100" w:beforeAutospacing="1" w:after="100" w:afterAutospacing="1" w:line="420" w:lineRule="atLeast"/>
              <w:ind w:firstLine="643"/>
              <w:jc w:val="left"/>
              <w:outlineLvl w:val="1"/>
              <w:rPr>
                <w:rFonts w:ascii="微软雅黑" w:eastAsia="微软雅黑" w:hAnsi="微软雅黑" w:cs="宋体" w:hint="eastAsia"/>
                <w:b/>
                <w:bCs/>
                <w:color w:val="000000" w:themeColor="text1"/>
                <w:kern w:val="0"/>
                <w:sz w:val="36"/>
                <w:szCs w:val="36"/>
              </w:rPr>
            </w:pPr>
            <w:bookmarkStart w:id="17" w:name="_Toc434196992"/>
            <w:bookmarkStart w:id="18" w:name="_Toc465119635"/>
            <w:bookmarkEnd w:id="17"/>
            <w:bookmarkEnd w:id="18"/>
            <w:r w:rsidRPr="001F36F4">
              <w:rPr>
                <w:rFonts w:ascii="微软雅黑" w:eastAsia="微软雅黑" w:hAnsi="微软雅黑" w:cs="宋体" w:hint="eastAsia"/>
                <w:b/>
                <w:bCs/>
                <w:color w:val="000000" w:themeColor="text1"/>
                <w:kern w:val="0"/>
                <w:sz w:val="36"/>
                <w:szCs w:val="36"/>
              </w:rPr>
              <w:t xml:space="preserve">二、矿产资源勘查及开发利用现状 </w:t>
            </w:r>
          </w:p>
          <w:p w:rsidR="001F36F4" w:rsidRPr="001F36F4" w:rsidRDefault="001F36F4" w:rsidP="001F36F4">
            <w:pPr>
              <w:widowControl/>
              <w:spacing w:before="100" w:beforeAutospacing="1" w:after="100" w:afterAutospacing="1" w:line="420" w:lineRule="atLeast"/>
              <w:ind w:firstLine="602"/>
              <w:jc w:val="left"/>
              <w:outlineLvl w:val="2"/>
              <w:rPr>
                <w:rFonts w:ascii="微软雅黑" w:eastAsia="微软雅黑" w:hAnsi="微软雅黑" w:cs="宋体" w:hint="eastAsia"/>
                <w:b/>
                <w:bCs/>
                <w:color w:val="000000" w:themeColor="text1"/>
                <w:kern w:val="0"/>
                <w:sz w:val="27"/>
                <w:szCs w:val="27"/>
              </w:rPr>
            </w:pPr>
            <w:bookmarkStart w:id="19" w:name="_Toc434196993"/>
            <w:bookmarkEnd w:id="19"/>
            <w:r w:rsidRPr="001F36F4">
              <w:rPr>
                <w:rFonts w:ascii="微软雅黑" w:eastAsia="微软雅黑" w:hAnsi="微软雅黑" w:cs="宋体" w:hint="eastAsia"/>
                <w:b/>
                <w:bCs/>
                <w:color w:val="000000" w:themeColor="text1"/>
                <w:kern w:val="0"/>
                <w:sz w:val="27"/>
                <w:szCs w:val="27"/>
              </w:rPr>
              <w:t xml:space="preserve">（一）地质调查与矿产勘查情况 </w:t>
            </w:r>
          </w:p>
          <w:p w:rsidR="001F36F4" w:rsidRPr="001F36F4" w:rsidRDefault="001F36F4" w:rsidP="001F36F4">
            <w:pPr>
              <w:widowControl/>
              <w:spacing w:line="420" w:lineRule="atLeast"/>
              <w:ind w:firstLine="560"/>
              <w:jc w:val="left"/>
              <w:rPr>
                <w:rFonts w:ascii="微软雅黑" w:eastAsia="微软雅黑" w:hAnsi="微软雅黑" w:cs="宋体" w:hint="eastAsia"/>
                <w:color w:val="000000" w:themeColor="text1"/>
                <w:kern w:val="0"/>
                <w:sz w:val="24"/>
                <w:szCs w:val="24"/>
              </w:rPr>
            </w:pPr>
            <w:r w:rsidRPr="001F36F4">
              <w:rPr>
                <w:rFonts w:ascii="微软雅黑" w:eastAsia="微软雅黑" w:hAnsi="微软雅黑" w:cs="宋体" w:hint="eastAsia"/>
                <w:color w:val="000000" w:themeColor="text1"/>
                <w:kern w:val="0"/>
                <w:sz w:val="24"/>
                <w:szCs w:val="24"/>
              </w:rPr>
              <w:t>“十二五”期间，开展了覆盖淮安</w:t>
            </w:r>
            <w:proofErr w:type="gramStart"/>
            <w:r w:rsidRPr="001F36F4">
              <w:rPr>
                <w:rFonts w:ascii="微软雅黑" w:eastAsia="微软雅黑" w:hAnsi="微软雅黑" w:cs="宋体" w:hint="eastAsia"/>
                <w:color w:val="000000" w:themeColor="text1"/>
                <w:kern w:val="0"/>
                <w:sz w:val="24"/>
                <w:szCs w:val="24"/>
              </w:rPr>
              <w:t>市区域</w:t>
            </w:r>
            <w:proofErr w:type="gramEnd"/>
            <w:r w:rsidRPr="001F36F4">
              <w:rPr>
                <w:rFonts w:ascii="微软雅黑" w:eastAsia="微软雅黑" w:hAnsi="微软雅黑" w:cs="宋体" w:hint="eastAsia"/>
                <w:color w:val="000000" w:themeColor="text1"/>
                <w:kern w:val="0"/>
                <w:sz w:val="24"/>
                <w:szCs w:val="24"/>
              </w:rPr>
              <w:t>范围的江苏省矿产资源攻</w:t>
            </w:r>
            <w:proofErr w:type="gramStart"/>
            <w:r w:rsidRPr="001F36F4">
              <w:rPr>
                <w:rFonts w:ascii="微软雅黑" w:eastAsia="微软雅黑" w:hAnsi="微软雅黑" w:cs="宋体" w:hint="eastAsia"/>
                <w:color w:val="000000" w:themeColor="text1"/>
                <w:kern w:val="0"/>
                <w:sz w:val="24"/>
                <w:szCs w:val="24"/>
              </w:rPr>
              <w:t>深找盲</w:t>
            </w:r>
            <w:proofErr w:type="gramEnd"/>
            <w:r w:rsidRPr="001F36F4">
              <w:rPr>
                <w:rFonts w:ascii="微软雅黑" w:eastAsia="微软雅黑" w:hAnsi="微软雅黑" w:cs="宋体" w:hint="eastAsia"/>
                <w:color w:val="000000" w:themeColor="text1"/>
                <w:kern w:val="0"/>
                <w:sz w:val="24"/>
                <w:szCs w:val="24"/>
              </w:rPr>
              <w:t xml:space="preserve">远景评价项目、江苏省查明矿产地资源储量核查项目以及江苏盱眙地区矿产远景调查等区域地质调查项目，安排了1∶25万江苏平原地区地下水污染调查评价（包含淮安市）、江苏省重要地质灾害隐患点调查评价（包含淮安市）、江苏省地质环境调查与区划（包含淮安市）、江苏省主要城市环境地质调查评价（包含淮安市）、江苏省矿产资源集中开采区矿山地质环境调查（包含淮安市）、涟水县河网地区水文地质调查等综合环境地质调查。 </w:t>
            </w:r>
          </w:p>
          <w:p w:rsidR="001F36F4" w:rsidRPr="001F36F4" w:rsidRDefault="001F36F4" w:rsidP="001F36F4">
            <w:pPr>
              <w:widowControl/>
              <w:spacing w:line="420" w:lineRule="atLeast"/>
              <w:ind w:firstLine="560"/>
              <w:jc w:val="left"/>
              <w:rPr>
                <w:rFonts w:ascii="微软雅黑" w:eastAsia="微软雅黑" w:hAnsi="微软雅黑" w:cs="宋体" w:hint="eastAsia"/>
                <w:color w:val="000000" w:themeColor="text1"/>
                <w:kern w:val="0"/>
                <w:sz w:val="24"/>
                <w:szCs w:val="24"/>
              </w:rPr>
            </w:pPr>
            <w:r w:rsidRPr="001F36F4">
              <w:rPr>
                <w:rFonts w:ascii="微软雅黑" w:eastAsia="微软雅黑" w:hAnsi="微软雅黑" w:cs="宋体" w:hint="eastAsia"/>
                <w:color w:val="000000" w:themeColor="text1"/>
                <w:kern w:val="0"/>
                <w:sz w:val="24"/>
                <w:szCs w:val="24"/>
              </w:rPr>
              <w:t>淮安市进行了江苏省盱眙</w:t>
            </w:r>
            <w:proofErr w:type="gramStart"/>
            <w:r w:rsidRPr="001F36F4">
              <w:rPr>
                <w:rFonts w:ascii="微软雅黑" w:eastAsia="微软雅黑" w:hAnsi="微软雅黑" w:cs="宋体" w:hint="eastAsia"/>
                <w:color w:val="000000" w:themeColor="text1"/>
                <w:kern w:val="0"/>
                <w:sz w:val="24"/>
                <w:szCs w:val="24"/>
              </w:rPr>
              <w:t>县佛窝</w:t>
            </w:r>
            <w:proofErr w:type="gramEnd"/>
            <w:r w:rsidRPr="001F36F4">
              <w:rPr>
                <w:rFonts w:ascii="微软雅黑" w:eastAsia="微软雅黑" w:hAnsi="微软雅黑" w:cs="宋体" w:hint="eastAsia"/>
                <w:color w:val="000000" w:themeColor="text1"/>
                <w:kern w:val="0"/>
                <w:sz w:val="24"/>
                <w:szCs w:val="24"/>
              </w:rPr>
              <w:t>～</w:t>
            </w:r>
            <w:proofErr w:type="gramStart"/>
            <w:r w:rsidRPr="001F36F4">
              <w:rPr>
                <w:rFonts w:ascii="微软雅黑" w:eastAsia="微软雅黑" w:hAnsi="微软雅黑" w:cs="宋体" w:hint="eastAsia"/>
                <w:color w:val="000000" w:themeColor="text1"/>
                <w:kern w:val="0"/>
                <w:sz w:val="24"/>
                <w:szCs w:val="24"/>
              </w:rPr>
              <w:t>狼洞金铜矿</w:t>
            </w:r>
            <w:proofErr w:type="gramEnd"/>
            <w:r w:rsidRPr="001F36F4">
              <w:rPr>
                <w:rFonts w:ascii="微软雅黑" w:eastAsia="微软雅黑" w:hAnsi="微软雅黑" w:cs="宋体" w:hint="eastAsia"/>
                <w:color w:val="000000" w:themeColor="text1"/>
                <w:kern w:val="0"/>
                <w:sz w:val="24"/>
                <w:szCs w:val="24"/>
              </w:rPr>
              <w:t>普查、江苏省淮安市洪泽县三河镇铁铜矿预查、淮安市淮安盐矿区张</w:t>
            </w:r>
            <w:proofErr w:type="gramStart"/>
            <w:r w:rsidRPr="001F36F4">
              <w:rPr>
                <w:rFonts w:ascii="微软雅黑" w:eastAsia="微软雅黑" w:hAnsi="微软雅黑" w:cs="宋体" w:hint="eastAsia"/>
                <w:color w:val="000000" w:themeColor="text1"/>
                <w:kern w:val="0"/>
                <w:sz w:val="24"/>
                <w:szCs w:val="24"/>
              </w:rPr>
              <w:t>兴块段</w:t>
            </w:r>
            <w:proofErr w:type="gramEnd"/>
            <w:r w:rsidRPr="001F36F4">
              <w:rPr>
                <w:rFonts w:ascii="微软雅黑" w:eastAsia="微软雅黑" w:hAnsi="微软雅黑" w:cs="宋体" w:hint="eastAsia"/>
                <w:color w:val="000000" w:themeColor="text1"/>
                <w:kern w:val="0"/>
                <w:sz w:val="24"/>
                <w:szCs w:val="24"/>
              </w:rPr>
              <w:t>石盐矿详查、淮安市淮阴区赵集矿区庆丰矿段庆</w:t>
            </w:r>
            <w:proofErr w:type="gramStart"/>
            <w:r w:rsidRPr="001F36F4">
              <w:rPr>
                <w:rFonts w:ascii="微软雅黑" w:eastAsia="微软雅黑" w:hAnsi="微软雅黑" w:cs="宋体" w:hint="eastAsia"/>
                <w:color w:val="000000" w:themeColor="text1"/>
                <w:kern w:val="0"/>
                <w:sz w:val="24"/>
                <w:szCs w:val="24"/>
              </w:rPr>
              <w:t>丰块段</w:t>
            </w:r>
            <w:proofErr w:type="gramEnd"/>
            <w:r w:rsidRPr="001F36F4">
              <w:rPr>
                <w:rFonts w:ascii="微软雅黑" w:eastAsia="微软雅黑" w:hAnsi="微软雅黑" w:cs="宋体" w:hint="eastAsia"/>
                <w:color w:val="000000" w:themeColor="text1"/>
                <w:kern w:val="0"/>
                <w:sz w:val="24"/>
                <w:szCs w:val="24"/>
              </w:rPr>
              <w:t>无水芒硝、石盐矿勘探、涟水东部</w:t>
            </w:r>
            <w:proofErr w:type="gramStart"/>
            <w:r w:rsidRPr="001F36F4">
              <w:rPr>
                <w:rFonts w:ascii="微软雅黑" w:eastAsia="微软雅黑" w:hAnsi="微软雅黑" w:cs="宋体" w:hint="eastAsia"/>
                <w:color w:val="000000" w:themeColor="text1"/>
                <w:kern w:val="0"/>
                <w:sz w:val="24"/>
                <w:szCs w:val="24"/>
              </w:rPr>
              <w:t>勘查区</w:t>
            </w:r>
            <w:proofErr w:type="gramEnd"/>
            <w:r w:rsidRPr="001F36F4">
              <w:rPr>
                <w:rFonts w:ascii="微软雅黑" w:eastAsia="微软雅黑" w:hAnsi="微软雅黑" w:cs="宋体" w:hint="eastAsia"/>
                <w:color w:val="000000" w:themeColor="text1"/>
                <w:kern w:val="0"/>
                <w:sz w:val="24"/>
                <w:szCs w:val="24"/>
              </w:rPr>
              <w:t>岩盐预查等一系列金属、优势非金属的矿产勘查工作，同时还开展了淮安市城市规划区浅层地温</w:t>
            </w:r>
            <w:proofErr w:type="gramStart"/>
            <w:r w:rsidRPr="001F36F4">
              <w:rPr>
                <w:rFonts w:ascii="微软雅黑" w:eastAsia="微软雅黑" w:hAnsi="微软雅黑" w:cs="宋体" w:hint="eastAsia"/>
                <w:color w:val="000000" w:themeColor="text1"/>
                <w:kern w:val="0"/>
                <w:sz w:val="24"/>
                <w:szCs w:val="24"/>
              </w:rPr>
              <w:t>能调查</w:t>
            </w:r>
            <w:proofErr w:type="gramEnd"/>
            <w:r w:rsidRPr="001F36F4">
              <w:rPr>
                <w:rFonts w:ascii="微软雅黑" w:eastAsia="微软雅黑" w:hAnsi="微软雅黑" w:cs="宋体" w:hint="eastAsia"/>
                <w:color w:val="000000" w:themeColor="text1"/>
                <w:kern w:val="0"/>
                <w:sz w:val="24"/>
                <w:szCs w:val="24"/>
              </w:rPr>
              <w:t>评价以及淮安市金湖县森林公园景区地热调查的勘查工作。以上众多公益性、商业性的矿产勘查项目均于“十二五”期间积极展开，矿产勘查取得一定的进展。商业性地质勘查进展较好，操作日趋规范，岩盐、芒硝、</w:t>
            </w:r>
            <w:proofErr w:type="gramStart"/>
            <w:r w:rsidRPr="001F36F4">
              <w:rPr>
                <w:rFonts w:ascii="微软雅黑" w:eastAsia="微软雅黑" w:hAnsi="微软雅黑" w:cs="宋体" w:hint="eastAsia"/>
                <w:color w:val="000000" w:themeColor="text1"/>
                <w:kern w:val="0"/>
                <w:sz w:val="24"/>
                <w:szCs w:val="24"/>
              </w:rPr>
              <w:t>凹凸棒石粘土</w:t>
            </w:r>
            <w:proofErr w:type="gramEnd"/>
            <w:r w:rsidRPr="001F36F4">
              <w:rPr>
                <w:rFonts w:ascii="微软雅黑" w:eastAsia="微软雅黑" w:hAnsi="微软雅黑" w:cs="宋体" w:hint="eastAsia"/>
                <w:color w:val="000000" w:themeColor="text1"/>
                <w:kern w:val="0"/>
                <w:sz w:val="24"/>
                <w:szCs w:val="24"/>
              </w:rPr>
              <w:t xml:space="preserve">、地热、矿泉水等矿产的勘查都已进入商业化运作，并取得了实效。 </w:t>
            </w:r>
          </w:p>
          <w:p w:rsidR="001F36F4" w:rsidRPr="001F36F4" w:rsidRDefault="001F36F4" w:rsidP="001F36F4">
            <w:pPr>
              <w:widowControl/>
              <w:spacing w:before="100" w:beforeAutospacing="1" w:after="100" w:afterAutospacing="1" w:line="420" w:lineRule="atLeast"/>
              <w:ind w:firstLine="602"/>
              <w:jc w:val="left"/>
              <w:outlineLvl w:val="2"/>
              <w:rPr>
                <w:rFonts w:ascii="微软雅黑" w:eastAsia="微软雅黑" w:hAnsi="微软雅黑" w:cs="宋体" w:hint="eastAsia"/>
                <w:b/>
                <w:bCs/>
                <w:color w:val="000000" w:themeColor="text1"/>
                <w:kern w:val="0"/>
                <w:sz w:val="27"/>
                <w:szCs w:val="27"/>
              </w:rPr>
            </w:pPr>
            <w:bookmarkStart w:id="20" w:name="_Toc434196994"/>
            <w:bookmarkEnd w:id="20"/>
            <w:r w:rsidRPr="001F36F4">
              <w:rPr>
                <w:rFonts w:ascii="微软雅黑" w:eastAsia="微软雅黑" w:hAnsi="微软雅黑" w:cs="宋体" w:hint="eastAsia"/>
                <w:b/>
                <w:bCs/>
                <w:color w:val="000000" w:themeColor="text1"/>
                <w:kern w:val="0"/>
                <w:sz w:val="27"/>
                <w:szCs w:val="27"/>
              </w:rPr>
              <w:lastRenderedPageBreak/>
              <w:t xml:space="preserve">（二）矿产资源概况 </w:t>
            </w:r>
          </w:p>
          <w:p w:rsidR="001F36F4" w:rsidRPr="001F36F4" w:rsidRDefault="001F36F4" w:rsidP="001F36F4">
            <w:pPr>
              <w:widowControl/>
              <w:spacing w:line="420" w:lineRule="atLeast"/>
              <w:ind w:firstLine="567"/>
              <w:jc w:val="left"/>
              <w:rPr>
                <w:rFonts w:ascii="微软雅黑" w:eastAsia="微软雅黑" w:hAnsi="微软雅黑" w:cs="宋体" w:hint="eastAsia"/>
                <w:color w:val="000000" w:themeColor="text1"/>
                <w:kern w:val="0"/>
                <w:sz w:val="24"/>
                <w:szCs w:val="24"/>
              </w:rPr>
            </w:pPr>
            <w:r w:rsidRPr="001F36F4">
              <w:rPr>
                <w:rFonts w:ascii="微软雅黑" w:eastAsia="微软雅黑" w:hAnsi="微软雅黑" w:cs="宋体" w:hint="eastAsia"/>
                <w:color w:val="000000" w:themeColor="text1"/>
                <w:kern w:val="0"/>
                <w:sz w:val="24"/>
                <w:szCs w:val="24"/>
              </w:rPr>
              <w:t xml:space="preserve">1. 矿产资源特点 </w:t>
            </w:r>
          </w:p>
          <w:p w:rsidR="001F36F4" w:rsidRPr="001F36F4" w:rsidRDefault="001F36F4" w:rsidP="001F36F4">
            <w:pPr>
              <w:widowControl/>
              <w:spacing w:line="420" w:lineRule="atLeast"/>
              <w:ind w:firstLine="560"/>
              <w:jc w:val="left"/>
              <w:rPr>
                <w:rFonts w:ascii="微软雅黑" w:eastAsia="微软雅黑" w:hAnsi="微软雅黑" w:cs="宋体" w:hint="eastAsia"/>
                <w:color w:val="000000" w:themeColor="text1"/>
                <w:kern w:val="0"/>
                <w:sz w:val="24"/>
                <w:szCs w:val="24"/>
              </w:rPr>
            </w:pPr>
            <w:r w:rsidRPr="001F36F4">
              <w:rPr>
                <w:rFonts w:ascii="微软雅黑" w:eastAsia="微软雅黑" w:hAnsi="微软雅黑" w:cs="宋体" w:hint="eastAsia"/>
                <w:color w:val="000000" w:themeColor="text1"/>
                <w:kern w:val="0"/>
                <w:sz w:val="24"/>
                <w:szCs w:val="24"/>
              </w:rPr>
              <w:t>淮安市矿产资源较为丰富，分布相对集中。能源矿产资源有金湖县、洪泽县的石油和天然气，洪泽县、盱眙县以及金湖县的地热。非金属矿产资源丰富，品种多，有盱眙县的</w:t>
            </w:r>
            <w:proofErr w:type="gramStart"/>
            <w:r w:rsidRPr="001F36F4">
              <w:rPr>
                <w:rFonts w:ascii="微软雅黑" w:eastAsia="微软雅黑" w:hAnsi="微软雅黑" w:cs="宋体" w:hint="eastAsia"/>
                <w:color w:val="000000" w:themeColor="text1"/>
                <w:kern w:val="0"/>
                <w:sz w:val="24"/>
                <w:szCs w:val="24"/>
              </w:rPr>
              <w:t>凹凸棒石粘土</w:t>
            </w:r>
            <w:proofErr w:type="gramEnd"/>
            <w:r w:rsidRPr="001F36F4">
              <w:rPr>
                <w:rFonts w:ascii="微软雅黑" w:eastAsia="微软雅黑" w:hAnsi="微软雅黑" w:cs="宋体" w:hint="eastAsia"/>
                <w:color w:val="000000" w:themeColor="text1"/>
                <w:kern w:val="0"/>
                <w:sz w:val="24"/>
                <w:szCs w:val="24"/>
              </w:rPr>
              <w:t xml:space="preserve">、玄武岩、白云岩；淮安区、清浦区、淮阴区的岩盐；洪泽县、淮阴区的芒硝等。 </w:t>
            </w:r>
          </w:p>
          <w:p w:rsidR="001F36F4" w:rsidRPr="001F36F4" w:rsidRDefault="001F36F4" w:rsidP="001F36F4">
            <w:pPr>
              <w:widowControl/>
              <w:spacing w:line="420" w:lineRule="atLeast"/>
              <w:ind w:firstLine="560"/>
              <w:jc w:val="left"/>
              <w:rPr>
                <w:rFonts w:ascii="微软雅黑" w:eastAsia="微软雅黑" w:hAnsi="微软雅黑" w:cs="宋体" w:hint="eastAsia"/>
                <w:color w:val="000000" w:themeColor="text1"/>
                <w:kern w:val="0"/>
                <w:sz w:val="24"/>
                <w:szCs w:val="24"/>
              </w:rPr>
            </w:pPr>
            <w:r w:rsidRPr="001F36F4">
              <w:rPr>
                <w:rFonts w:ascii="微软雅黑" w:eastAsia="微软雅黑" w:hAnsi="微软雅黑" w:cs="宋体" w:hint="eastAsia"/>
                <w:color w:val="000000" w:themeColor="text1"/>
                <w:kern w:val="0"/>
                <w:sz w:val="24"/>
                <w:szCs w:val="24"/>
              </w:rPr>
              <w:t>截止2015年底，淮安市共发现各类矿产36种。现已查明资源储量并列入《江苏省矿产资源储量统计表》的矿产有芒硝、岩盐、水泥用灰岩、</w:t>
            </w:r>
            <w:proofErr w:type="gramStart"/>
            <w:r w:rsidRPr="001F36F4">
              <w:rPr>
                <w:rFonts w:ascii="微软雅黑" w:eastAsia="微软雅黑" w:hAnsi="微软雅黑" w:cs="宋体" w:hint="eastAsia"/>
                <w:color w:val="000000" w:themeColor="text1"/>
                <w:kern w:val="0"/>
                <w:sz w:val="24"/>
                <w:szCs w:val="24"/>
              </w:rPr>
              <w:t>凹凸棒石粘土</w:t>
            </w:r>
            <w:proofErr w:type="gramEnd"/>
            <w:r w:rsidRPr="001F36F4">
              <w:rPr>
                <w:rFonts w:ascii="微软雅黑" w:eastAsia="微软雅黑" w:hAnsi="微软雅黑" w:cs="宋体" w:hint="eastAsia"/>
                <w:color w:val="000000" w:themeColor="text1"/>
                <w:kern w:val="0"/>
                <w:sz w:val="24"/>
                <w:szCs w:val="24"/>
              </w:rPr>
              <w:t xml:space="preserve">、膨润土、水泥配料用粘土、岩棉用玄武岩等7种，矿产地37处，大、中型规模矿床占比达到43%以上；矿产勘查程度相对较高，达到详查以上的占到75%以上；特别是岩盐、芒硝等优势和特色矿产全部达到详查以上。 </w:t>
            </w:r>
          </w:p>
          <w:p w:rsidR="001F36F4" w:rsidRPr="001F36F4" w:rsidRDefault="001F36F4" w:rsidP="001F36F4">
            <w:pPr>
              <w:widowControl/>
              <w:spacing w:line="420" w:lineRule="atLeast"/>
              <w:ind w:firstLine="554"/>
              <w:jc w:val="left"/>
              <w:rPr>
                <w:rFonts w:ascii="微软雅黑" w:eastAsia="微软雅黑" w:hAnsi="微软雅黑" w:cs="宋体" w:hint="eastAsia"/>
                <w:color w:val="000000" w:themeColor="text1"/>
                <w:kern w:val="0"/>
                <w:sz w:val="24"/>
                <w:szCs w:val="24"/>
              </w:rPr>
            </w:pPr>
            <w:r w:rsidRPr="001F36F4">
              <w:rPr>
                <w:rFonts w:ascii="微软雅黑" w:eastAsia="微软雅黑" w:hAnsi="微软雅黑" w:cs="宋体" w:hint="eastAsia"/>
                <w:color w:val="000000" w:themeColor="text1"/>
                <w:kern w:val="0"/>
                <w:sz w:val="24"/>
                <w:szCs w:val="24"/>
              </w:rPr>
              <w:t xml:space="preserve">2. 矿产资源潜力 </w:t>
            </w:r>
          </w:p>
          <w:p w:rsidR="001F36F4" w:rsidRPr="001F36F4" w:rsidRDefault="001F36F4" w:rsidP="001F36F4">
            <w:pPr>
              <w:widowControl/>
              <w:spacing w:line="420" w:lineRule="atLeast"/>
              <w:ind w:firstLine="560"/>
              <w:jc w:val="left"/>
              <w:rPr>
                <w:rFonts w:ascii="微软雅黑" w:eastAsia="微软雅黑" w:hAnsi="微软雅黑" w:cs="宋体" w:hint="eastAsia"/>
                <w:color w:val="000000" w:themeColor="text1"/>
                <w:kern w:val="0"/>
                <w:sz w:val="24"/>
                <w:szCs w:val="24"/>
              </w:rPr>
            </w:pPr>
            <w:r w:rsidRPr="001F36F4">
              <w:rPr>
                <w:rFonts w:ascii="微软雅黑" w:eastAsia="微软雅黑" w:hAnsi="微软雅黑" w:cs="宋体" w:hint="eastAsia"/>
                <w:color w:val="000000" w:themeColor="text1"/>
                <w:kern w:val="0"/>
                <w:sz w:val="24"/>
                <w:szCs w:val="24"/>
              </w:rPr>
              <w:t>岩盐和芒硝是淮安市也是我省的优势矿产资源，淮安和洪泽湖两大含岩盐、芒硝矿的盆地，近年来随着勘探工作程度的提高，资源储量逐年增加。盱眙县的</w:t>
            </w:r>
            <w:proofErr w:type="gramStart"/>
            <w:r w:rsidRPr="001F36F4">
              <w:rPr>
                <w:rFonts w:ascii="微软雅黑" w:eastAsia="微软雅黑" w:hAnsi="微软雅黑" w:cs="宋体" w:hint="eastAsia"/>
                <w:color w:val="000000" w:themeColor="text1"/>
                <w:kern w:val="0"/>
                <w:sz w:val="24"/>
                <w:szCs w:val="24"/>
              </w:rPr>
              <w:t>凹凸棒石粘土</w:t>
            </w:r>
            <w:proofErr w:type="gramEnd"/>
            <w:r w:rsidRPr="001F36F4">
              <w:rPr>
                <w:rFonts w:ascii="微软雅黑" w:eastAsia="微软雅黑" w:hAnsi="微软雅黑" w:cs="宋体" w:hint="eastAsia"/>
                <w:color w:val="000000" w:themeColor="text1"/>
                <w:kern w:val="0"/>
                <w:sz w:val="24"/>
                <w:szCs w:val="24"/>
              </w:rPr>
              <w:t>资源储量在全省占绝对优势，盱眙县</w:t>
            </w:r>
            <w:proofErr w:type="gramStart"/>
            <w:r w:rsidRPr="001F36F4">
              <w:rPr>
                <w:rFonts w:ascii="微软雅黑" w:eastAsia="微软雅黑" w:hAnsi="微软雅黑" w:cs="宋体" w:hint="eastAsia"/>
                <w:color w:val="000000" w:themeColor="text1"/>
                <w:kern w:val="0"/>
                <w:sz w:val="24"/>
                <w:szCs w:val="24"/>
              </w:rPr>
              <w:t>凹凸棒石粘土</w:t>
            </w:r>
            <w:proofErr w:type="gramEnd"/>
            <w:r w:rsidRPr="001F36F4">
              <w:rPr>
                <w:rFonts w:ascii="微软雅黑" w:eastAsia="微软雅黑" w:hAnsi="微软雅黑" w:cs="宋体" w:hint="eastAsia"/>
                <w:color w:val="000000" w:themeColor="text1"/>
                <w:kern w:val="0"/>
                <w:sz w:val="24"/>
                <w:szCs w:val="24"/>
              </w:rPr>
              <w:t>（含膨润土和混合粘土）的资源总量在21.77亿吨左右，资源潜力巨大。铁、</w:t>
            </w:r>
            <w:proofErr w:type="gramStart"/>
            <w:r w:rsidRPr="001F36F4">
              <w:rPr>
                <w:rFonts w:ascii="微软雅黑" w:eastAsia="微软雅黑" w:hAnsi="微软雅黑" w:cs="宋体" w:hint="eastAsia"/>
                <w:color w:val="000000" w:themeColor="text1"/>
                <w:kern w:val="0"/>
                <w:sz w:val="24"/>
                <w:szCs w:val="24"/>
              </w:rPr>
              <w:t>钼</w:t>
            </w:r>
            <w:proofErr w:type="gramEnd"/>
            <w:r w:rsidRPr="001F36F4">
              <w:rPr>
                <w:rFonts w:ascii="微软雅黑" w:eastAsia="微软雅黑" w:hAnsi="微软雅黑" w:cs="宋体" w:hint="eastAsia"/>
                <w:color w:val="000000" w:themeColor="text1"/>
                <w:kern w:val="0"/>
                <w:sz w:val="24"/>
                <w:szCs w:val="24"/>
              </w:rPr>
              <w:t>等金属矿产根据江苏省矿产资源潜力评价对资源量的预测，预测资源量分别有458.13万吨及0.99万吨，具有一定找矿潜力。淮安的地热资源主要分布在洪泽湖老子山地区、金湖东部以及盱眙十里营北部、临淮、</w:t>
            </w:r>
            <w:proofErr w:type="gramStart"/>
            <w:r w:rsidRPr="001F36F4">
              <w:rPr>
                <w:rFonts w:ascii="微软雅黑" w:eastAsia="微软雅黑" w:hAnsi="微软雅黑" w:cs="宋体" w:hint="eastAsia"/>
                <w:color w:val="000000" w:themeColor="text1"/>
                <w:kern w:val="0"/>
                <w:sz w:val="24"/>
                <w:szCs w:val="24"/>
              </w:rPr>
              <w:t>蒋</w:t>
            </w:r>
            <w:proofErr w:type="gramEnd"/>
            <w:r w:rsidRPr="001F36F4">
              <w:rPr>
                <w:rFonts w:ascii="微软雅黑" w:eastAsia="微软雅黑" w:hAnsi="微软雅黑" w:cs="宋体" w:hint="eastAsia"/>
                <w:color w:val="000000" w:themeColor="text1"/>
                <w:kern w:val="0"/>
                <w:sz w:val="24"/>
                <w:szCs w:val="24"/>
              </w:rPr>
              <w:t>坝等地区，可采资源总量达到12.701×10</w:t>
            </w:r>
            <w:r w:rsidRPr="001F36F4">
              <w:rPr>
                <w:rFonts w:ascii="微软雅黑" w:eastAsia="微软雅黑" w:hAnsi="微软雅黑" w:cs="宋体" w:hint="eastAsia"/>
                <w:color w:val="000000" w:themeColor="text1"/>
                <w:kern w:val="0"/>
                <w:sz w:val="24"/>
                <w:szCs w:val="24"/>
                <w:vertAlign w:val="superscript"/>
              </w:rPr>
              <w:t>7</w:t>
            </w:r>
            <w:r w:rsidRPr="001F36F4">
              <w:rPr>
                <w:rFonts w:ascii="微软雅黑" w:eastAsia="微软雅黑" w:hAnsi="微软雅黑" w:cs="宋体" w:hint="eastAsia"/>
                <w:color w:val="000000" w:themeColor="text1"/>
                <w:kern w:val="0"/>
                <w:sz w:val="24"/>
                <w:szCs w:val="24"/>
              </w:rPr>
              <w:t>m</w:t>
            </w:r>
            <w:r w:rsidRPr="001F36F4">
              <w:rPr>
                <w:rFonts w:ascii="微软雅黑" w:eastAsia="微软雅黑" w:hAnsi="微软雅黑" w:cs="宋体" w:hint="eastAsia"/>
                <w:color w:val="000000" w:themeColor="text1"/>
                <w:kern w:val="0"/>
                <w:sz w:val="24"/>
                <w:szCs w:val="24"/>
                <w:vertAlign w:val="superscript"/>
              </w:rPr>
              <w:t>3</w:t>
            </w:r>
            <w:r w:rsidRPr="001F36F4">
              <w:rPr>
                <w:rFonts w:ascii="微软雅黑" w:eastAsia="微软雅黑" w:hAnsi="微软雅黑" w:cs="宋体" w:hint="eastAsia"/>
                <w:color w:val="000000" w:themeColor="text1"/>
                <w:kern w:val="0"/>
                <w:sz w:val="24"/>
                <w:szCs w:val="24"/>
              </w:rPr>
              <w:t>/a，是江苏地热资源最丰富的地区之一，具有很好的开发利用前景。浅层地温能资源是一种清洁环保、可循环利用的新型能源，淮安市中心城区浅层地</w:t>
            </w:r>
            <w:r w:rsidRPr="001F36F4">
              <w:rPr>
                <w:rFonts w:ascii="微软雅黑" w:eastAsia="微软雅黑" w:hAnsi="微软雅黑" w:cs="宋体" w:hint="eastAsia"/>
                <w:color w:val="000000" w:themeColor="text1"/>
                <w:kern w:val="0"/>
                <w:sz w:val="24"/>
                <w:szCs w:val="24"/>
              </w:rPr>
              <w:lastRenderedPageBreak/>
              <w:t>温能资源潜力巨大，浅层地温能存储量达7.06×10</w:t>
            </w:r>
            <w:r w:rsidRPr="001F36F4">
              <w:rPr>
                <w:rFonts w:ascii="微软雅黑" w:eastAsia="微软雅黑" w:hAnsi="微软雅黑" w:cs="宋体" w:hint="eastAsia"/>
                <w:color w:val="000000" w:themeColor="text1"/>
                <w:kern w:val="0"/>
                <w:sz w:val="24"/>
                <w:szCs w:val="24"/>
                <w:vertAlign w:val="superscript"/>
              </w:rPr>
              <w:t>13</w:t>
            </w:r>
            <w:r w:rsidRPr="001F36F4">
              <w:rPr>
                <w:rFonts w:ascii="微软雅黑" w:eastAsia="微软雅黑" w:hAnsi="微软雅黑" w:cs="宋体" w:hint="eastAsia"/>
                <w:color w:val="000000" w:themeColor="text1"/>
                <w:kern w:val="0"/>
                <w:sz w:val="24"/>
                <w:szCs w:val="24"/>
              </w:rPr>
              <w:t xml:space="preserve">kJ/℃。 </w:t>
            </w:r>
          </w:p>
          <w:p w:rsidR="001F36F4" w:rsidRPr="001F36F4" w:rsidRDefault="001F36F4" w:rsidP="001F36F4">
            <w:pPr>
              <w:widowControl/>
              <w:spacing w:before="100" w:beforeAutospacing="1" w:after="100" w:afterAutospacing="1" w:line="420" w:lineRule="atLeast"/>
              <w:ind w:firstLine="602"/>
              <w:jc w:val="left"/>
              <w:outlineLvl w:val="2"/>
              <w:rPr>
                <w:rFonts w:ascii="微软雅黑" w:eastAsia="微软雅黑" w:hAnsi="微软雅黑" w:cs="宋体" w:hint="eastAsia"/>
                <w:b/>
                <w:bCs/>
                <w:color w:val="000000" w:themeColor="text1"/>
                <w:kern w:val="0"/>
                <w:sz w:val="27"/>
                <w:szCs w:val="27"/>
              </w:rPr>
            </w:pPr>
            <w:bookmarkStart w:id="21" w:name="_Toc434196995"/>
            <w:bookmarkEnd w:id="21"/>
            <w:r w:rsidRPr="001F36F4">
              <w:rPr>
                <w:rFonts w:ascii="微软雅黑" w:eastAsia="微软雅黑" w:hAnsi="微软雅黑" w:cs="宋体" w:hint="eastAsia"/>
                <w:b/>
                <w:bCs/>
                <w:color w:val="000000" w:themeColor="text1"/>
                <w:kern w:val="0"/>
                <w:sz w:val="27"/>
                <w:szCs w:val="27"/>
              </w:rPr>
              <w:t xml:space="preserve">（三）矿产资源开发利用现状 </w:t>
            </w:r>
          </w:p>
          <w:p w:rsidR="001F36F4" w:rsidRPr="001F36F4" w:rsidRDefault="001F36F4" w:rsidP="001F36F4">
            <w:pPr>
              <w:widowControl/>
              <w:spacing w:line="420" w:lineRule="atLeast"/>
              <w:ind w:firstLine="560"/>
              <w:jc w:val="left"/>
              <w:rPr>
                <w:rFonts w:ascii="微软雅黑" w:eastAsia="微软雅黑" w:hAnsi="微软雅黑" w:cs="宋体" w:hint="eastAsia"/>
                <w:color w:val="000000" w:themeColor="text1"/>
                <w:kern w:val="0"/>
                <w:sz w:val="24"/>
                <w:szCs w:val="24"/>
              </w:rPr>
            </w:pPr>
            <w:r w:rsidRPr="001F36F4">
              <w:rPr>
                <w:rFonts w:ascii="微软雅黑" w:eastAsia="微软雅黑" w:hAnsi="微软雅黑" w:cs="宋体" w:hint="eastAsia"/>
                <w:color w:val="000000" w:themeColor="text1"/>
                <w:kern w:val="0"/>
                <w:sz w:val="24"/>
                <w:szCs w:val="24"/>
              </w:rPr>
              <w:t>截止2015年，淮安市正在开发利用的矿产有7种，分别为地热、芒硝、岩盐、建筑石料用灰岩、</w:t>
            </w:r>
            <w:proofErr w:type="gramStart"/>
            <w:r w:rsidRPr="001F36F4">
              <w:rPr>
                <w:rFonts w:ascii="微软雅黑" w:eastAsia="微软雅黑" w:hAnsi="微软雅黑" w:cs="宋体" w:hint="eastAsia"/>
                <w:color w:val="000000" w:themeColor="text1"/>
                <w:kern w:val="0"/>
                <w:sz w:val="24"/>
                <w:szCs w:val="24"/>
              </w:rPr>
              <w:t>凹凸棒石粘土</w:t>
            </w:r>
            <w:proofErr w:type="gramEnd"/>
            <w:r w:rsidRPr="001F36F4">
              <w:rPr>
                <w:rFonts w:ascii="微软雅黑" w:eastAsia="微软雅黑" w:hAnsi="微软雅黑" w:cs="宋体" w:hint="eastAsia"/>
                <w:color w:val="000000" w:themeColor="text1"/>
                <w:kern w:val="0"/>
                <w:sz w:val="24"/>
                <w:szCs w:val="24"/>
              </w:rPr>
              <w:t>、砖瓦用粘土及矿泉水。全市共有矿山96个，矿业从业人员7740人，</w:t>
            </w:r>
            <w:proofErr w:type="gramStart"/>
            <w:r w:rsidRPr="001F36F4">
              <w:rPr>
                <w:rFonts w:ascii="微软雅黑" w:eastAsia="微软雅黑" w:hAnsi="微软雅黑" w:cs="宋体" w:hint="eastAsia"/>
                <w:color w:val="000000" w:themeColor="text1"/>
                <w:kern w:val="0"/>
                <w:sz w:val="24"/>
                <w:szCs w:val="24"/>
              </w:rPr>
              <w:t>年产矿量</w:t>
            </w:r>
            <w:proofErr w:type="gramEnd"/>
            <w:r w:rsidRPr="001F36F4">
              <w:rPr>
                <w:rFonts w:ascii="微软雅黑" w:eastAsia="微软雅黑" w:hAnsi="微软雅黑" w:cs="宋体" w:hint="eastAsia"/>
                <w:color w:val="000000" w:themeColor="text1"/>
                <w:kern w:val="0"/>
                <w:sz w:val="24"/>
                <w:szCs w:val="24"/>
              </w:rPr>
              <w:t>1564.28万吨，采矿业总产值25.31亿元；矿山数量及从业人员2008年以来均呈现总体下降的趋势，分别比2008年减少了38%及35%；</w:t>
            </w:r>
            <w:proofErr w:type="gramStart"/>
            <w:r w:rsidRPr="001F36F4">
              <w:rPr>
                <w:rFonts w:ascii="微软雅黑" w:eastAsia="微软雅黑" w:hAnsi="微软雅黑" w:cs="宋体" w:hint="eastAsia"/>
                <w:color w:val="000000" w:themeColor="text1"/>
                <w:kern w:val="0"/>
                <w:sz w:val="24"/>
                <w:szCs w:val="24"/>
              </w:rPr>
              <w:t>年产矿量及</w:t>
            </w:r>
            <w:proofErr w:type="gramEnd"/>
            <w:r w:rsidRPr="001F36F4">
              <w:rPr>
                <w:rFonts w:ascii="微软雅黑" w:eastAsia="微软雅黑" w:hAnsi="微软雅黑" w:cs="宋体" w:hint="eastAsia"/>
                <w:color w:val="000000" w:themeColor="text1"/>
                <w:kern w:val="0"/>
                <w:sz w:val="24"/>
                <w:szCs w:val="24"/>
              </w:rPr>
              <w:t xml:space="preserve">采矿业总产值呈现总体增长局部下降的趋势，分别比2008年增加了9%及6%。 </w:t>
            </w:r>
          </w:p>
          <w:p w:rsidR="001F36F4" w:rsidRPr="001F36F4" w:rsidRDefault="001F36F4" w:rsidP="001F36F4">
            <w:pPr>
              <w:widowControl/>
              <w:spacing w:line="420" w:lineRule="atLeast"/>
              <w:ind w:firstLine="560"/>
              <w:jc w:val="left"/>
              <w:rPr>
                <w:rFonts w:ascii="微软雅黑" w:eastAsia="微软雅黑" w:hAnsi="微软雅黑" w:cs="宋体" w:hint="eastAsia"/>
                <w:color w:val="000000" w:themeColor="text1"/>
                <w:kern w:val="0"/>
                <w:sz w:val="24"/>
                <w:szCs w:val="24"/>
              </w:rPr>
            </w:pPr>
            <w:r w:rsidRPr="001F36F4">
              <w:rPr>
                <w:rFonts w:ascii="微软雅黑" w:eastAsia="微软雅黑" w:hAnsi="微软雅黑" w:cs="宋体" w:hint="eastAsia"/>
                <w:color w:val="000000" w:themeColor="text1"/>
                <w:kern w:val="0"/>
                <w:sz w:val="24"/>
                <w:szCs w:val="24"/>
              </w:rPr>
              <w:t xml:space="preserve">淮安市大中型规模矿山占矿山总数的比例自2008年以来呈总体上升的趋势，2015年大中型矿山的比例达到30%，非砖瓦用粘土矿山中大中型矿山的比例近82%。 </w:t>
            </w:r>
          </w:p>
          <w:p w:rsidR="001F36F4" w:rsidRPr="001F36F4" w:rsidRDefault="001F36F4" w:rsidP="001F36F4">
            <w:pPr>
              <w:widowControl/>
              <w:spacing w:line="420" w:lineRule="atLeast"/>
              <w:ind w:firstLine="560"/>
              <w:jc w:val="left"/>
              <w:rPr>
                <w:rFonts w:ascii="微软雅黑" w:eastAsia="微软雅黑" w:hAnsi="微软雅黑" w:cs="宋体" w:hint="eastAsia"/>
                <w:color w:val="000000" w:themeColor="text1"/>
                <w:kern w:val="0"/>
                <w:sz w:val="24"/>
                <w:szCs w:val="24"/>
              </w:rPr>
            </w:pPr>
            <w:r w:rsidRPr="001F36F4">
              <w:rPr>
                <w:rFonts w:ascii="微软雅黑" w:eastAsia="微软雅黑" w:hAnsi="微软雅黑" w:cs="宋体" w:hint="eastAsia"/>
                <w:color w:val="000000" w:themeColor="text1"/>
                <w:kern w:val="0"/>
                <w:sz w:val="24"/>
                <w:szCs w:val="24"/>
              </w:rPr>
              <w:t>经过几年的开发利用，淮安已基本形成了以盐化工、</w:t>
            </w:r>
            <w:proofErr w:type="gramStart"/>
            <w:r w:rsidRPr="001F36F4">
              <w:rPr>
                <w:rFonts w:ascii="微软雅黑" w:eastAsia="微软雅黑" w:hAnsi="微软雅黑" w:cs="宋体" w:hint="eastAsia"/>
                <w:color w:val="000000" w:themeColor="text1"/>
                <w:kern w:val="0"/>
                <w:sz w:val="24"/>
                <w:szCs w:val="24"/>
              </w:rPr>
              <w:t>凹凸棒石粘土</w:t>
            </w:r>
            <w:proofErr w:type="gramEnd"/>
            <w:r w:rsidRPr="001F36F4">
              <w:rPr>
                <w:rFonts w:ascii="微软雅黑" w:eastAsia="微软雅黑" w:hAnsi="微软雅黑" w:cs="宋体" w:hint="eastAsia"/>
                <w:color w:val="000000" w:themeColor="text1"/>
                <w:kern w:val="0"/>
                <w:sz w:val="24"/>
                <w:szCs w:val="24"/>
              </w:rPr>
              <w:t>、建材非金属为主的矿业优势。为强势推进淮安盐化新材料产业快速崛起，把淮安丰富独特的盐矿资源迅速转化为产业优势、经济优势及跨越发展的优势，全市建设了规划面积98.4平方千米的盐化新区，其中盐化工项目用地66.6平方千米,是目前国内面积最大的化工和盐化工基地之一，园区已创成国家火炬淮安盐化</w:t>
            </w:r>
            <w:proofErr w:type="gramStart"/>
            <w:r w:rsidRPr="001F36F4">
              <w:rPr>
                <w:rFonts w:ascii="微软雅黑" w:eastAsia="微软雅黑" w:hAnsi="微软雅黑" w:cs="宋体" w:hint="eastAsia"/>
                <w:color w:val="000000" w:themeColor="text1"/>
                <w:kern w:val="0"/>
                <w:sz w:val="24"/>
                <w:szCs w:val="24"/>
              </w:rPr>
              <w:t>工特色</w:t>
            </w:r>
            <w:proofErr w:type="gramEnd"/>
            <w:r w:rsidRPr="001F36F4">
              <w:rPr>
                <w:rFonts w:ascii="微软雅黑" w:eastAsia="微软雅黑" w:hAnsi="微软雅黑" w:cs="宋体" w:hint="eastAsia"/>
                <w:color w:val="000000" w:themeColor="text1"/>
                <w:kern w:val="0"/>
                <w:sz w:val="24"/>
                <w:szCs w:val="24"/>
              </w:rPr>
              <w:t>产业基地、省新型工业化示范基地以及省农药产业集中区和省科技园区。盱眙县的</w:t>
            </w:r>
            <w:proofErr w:type="gramStart"/>
            <w:r w:rsidRPr="001F36F4">
              <w:rPr>
                <w:rFonts w:ascii="微软雅黑" w:eastAsia="微软雅黑" w:hAnsi="微软雅黑" w:cs="宋体" w:hint="eastAsia"/>
                <w:color w:val="000000" w:themeColor="text1"/>
                <w:kern w:val="0"/>
                <w:sz w:val="24"/>
                <w:szCs w:val="24"/>
              </w:rPr>
              <w:t>凹凸棒石粘土</w:t>
            </w:r>
            <w:proofErr w:type="gramEnd"/>
            <w:r w:rsidRPr="001F36F4">
              <w:rPr>
                <w:rFonts w:ascii="微软雅黑" w:eastAsia="微软雅黑" w:hAnsi="微软雅黑" w:cs="宋体" w:hint="eastAsia"/>
                <w:color w:val="000000" w:themeColor="text1"/>
                <w:kern w:val="0"/>
                <w:sz w:val="24"/>
                <w:szCs w:val="24"/>
              </w:rPr>
              <w:t>产业在生产规模、技术水平、产品种类及市场占有率等方面均处国内领先地位，</w:t>
            </w:r>
            <w:proofErr w:type="gramStart"/>
            <w:r w:rsidRPr="001F36F4">
              <w:rPr>
                <w:rFonts w:ascii="微软雅黑" w:eastAsia="微软雅黑" w:hAnsi="微软雅黑" w:cs="宋体" w:hint="eastAsia"/>
                <w:color w:val="000000" w:themeColor="text1"/>
                <w:kern w:val="0"/>
                <w:sz w:val="24"/>
                <w:szCs w:val="24"/>
              </w:rPr>
              <w:t>凹凸棒石粘土</w:t>
            </w:r>
            <w:proofErr w:type="gramEnd"/>
            <w:r w:rsidRPr="001F36F4">
              <w:rPr>
                <w:rFonts w:ascii="微软雅黑" w:eastAsia="微软雅黑" w:hAnsi="微软雅黑" w:cs="宋体" w:hint="eastAsia"/>
                <w:color w:val="000000" w:themeColor="text1"/>
                <w:kern w:val="0"/>
                <w:sz w:val="24"/>
                <w:szCs w:val="24"/>
              </w:rPr>
              <w:t xml:space="preserve">生产加工业已经成为全市重要的经济支柱产业。 </w:t>
            </w:r>
          </w:p>
          <w:p w:rsidR="001F36F4" w:rsidRPr="001F36F4" w:rsidRDefault="001F36F4" w:rsidP="001F36F4">
            <w:pPr>
              <w:widowControl/>
              <w:spacing w:before="100" w:beforeAutospacing="1" w:after="100" w:afterAutospacing="1" w:line="420" w:lineRule="atLeast"/>
              <w:ind w:firstLine="602"/>
              <w:jc w:val="left"/>
              <w:outlineLvl w:val="2"/>
              <w:rPr>
                <w:rFonts w:ascii="微软雅黑" w:eastAsia="微软雅黑" w:hAnsi="微软雅黑" w:cs="宋体" w:hint="eastAsia"/>
                <w:b/>
                <w:bCs/>
                <w:color w:val="000000" w:themeColor="text1"/>
                <w:kern w:val="0"/>
                <w:sz w:val="27"/>
                <w:szCs w:val="27"/>
              </w:rPr>
            </w:pPr>
            <w:bookmarkStart w:id="22" w:name="_Toc434196996"/>
            <w:bookmarkEnd w:id="22"/>
            <w:r w:rsidRPr="001F36F4">
              <w:rPr>
                <w:rFonts w:ascii="微软雅黑" w:eastAsia="微软雅黑" w:hAnsi="微软雅黑" w:cs="宋体" w:hint="eastAsia"/>
                <w:b/>
                <w:bCs/>
                <w:color w:val="000000" w:themeColor="text1"/>
                <w:kern w:val="0"/>
                <w:sz w:val="27"/>
                <w:szCs w:val="27"/>
              </w:rPr>
              <w:t xml:space="preserve">（四）绿色矿山建设进展 </w:t>
            </w:r>
          </w:p>
          <w:p w:rsidR="001F36F4" w:rsidRPr="001F36F4" w:rsidRDefault="001F36F4" w:rsidP="001F36F4">
            <w:pPr>
              <w:widowControl/>
              <w:spacing w:line="420" w:lineRule="atLeast"/>
              <w:ind w:firstLine="560"/>
              <w:jc w:val="left"/>
              <w:rPr>
                <w:rFonts w:ascii="微软雅黑" w:eastAsia="微软雅黑" w:hAnsi="微软雅黑" w:cs="宋体" w:hint="eastAsia"/>
                <w:color w:val="000000" w:themeColor="text1"/>
                <w:kern w:val="0"/>
                <w:sz w:val="24"/>
                <w:szCs w:val="24"/>
              </w:rPr>
            </w:pPr>
            <w:r w:rsidRPr="001F36F4">
              <w:rPr>
                <w:rFonts w:ascii="微软雅黑" w:eastAsia="微软雅黑" w:hAnsi="微软雅黑" w:cs="宋体" w:hint="eastAsia"/>
                <w:color w:val="000000" w:themeColor="text1"/>
                <w:kern w:val="0"/>
                <w:sz w:val="24"/>
                <w:szCs w:val="24"/>
              </w:rPr>
              <w:lastRenderedPageBreak/>
              <w:t>二轮规划实施期间，淮安市的绿色矿山建设取得了很大的进展。江苏白玫化工有限公司丁场芒硝矿、江苏井神盐化股份有限公司下关盐矿、洪泽大洋化工有限公司芒硝矿和江苏省银珠化工集团有限公司</w:t>
            </w:r>
            <w:proofErr w:type="gramStart"/>
            <w:r w:rsidRPr="001F36F4">
              <w:rPr>
                <w:rFonts w:ascii="微软雅黑" w:eastAsia="微软雅黑" w:hAnsi="微软雅黑" w:cs="宋体" w:hint="eastAsia"/>
                <w:color w:val="000000" w:themeColor="text1"/>
                <w:kern w:val="0"/>
                <w:sz w:val="24"/>
                <w:szCs w:val="24"/>
              </w:rPr>
              <w:t>芒硝矿这4个</w:t>
            </w:r>
            <w:proofErr w:type="gramEnd"/>
            <w:r w:rsidRPr="001F36F4">
              <w:rPr>
                <w:rFonts w:ascii="微软雅黑" w:eastAsia="微软雅黑" w:hAnsi="微软雅黑" w:cs="宋体" w:hint="eastAsia"/>
                <w:color w:val="000000" w:themeColor="text1"/>
                <w:kern w:val="0"/>
                <w:sz w:val="24"/>
                <w:szCs w:val="24"/>
              </w:rPr>
              <w:t xml:space="preserve">矿山均于2014年成功申报国家级绿色矿山试点单位。经过2年的建设，依靠科技创新和科学化的管理制度，矿山的资源合理开发利用程度、开采工艺技术、综合利用水平等都有了显著的提高，盐泥、废渣等固体废弃物都能做到充分有效的综合循环利用，生产用水、生活用水循环再利用于矿山采卤用水，少量废水达标排放。 </w:t>
            </w:r>
          </w:p>
          <w:p w:rsidR="001F36F4" w:rsidRPr="001F36F4" w:rsidRDefault="001F36F4" w:rsidP="001F36F4">
            <w:pPr>
              <w:widowControl/>
              <w:spacing w:before="100" w:beforeAutospacing="1" w:after="100" w:afterAutospacing="1" w:line="420" w:lineRule="atLeast"/>
              <w:ind w:firstLine="602"/>
              <w:jc w:val="left"/>
              <w:outlineLvl w:val="2"/>
              <w:rPr>
                <w:rFonts w:ascii="微软雅黑" w:eastAsia="微软雅黑" w:hAnsi="微软雅黑" w:cs="宋体" w:hint="eastAsia"/>
                <w:b/>
                <w:bCs/>
                <w:color w:val="000000" w:themeColor="text1"/>
                <w:kern w:val="0"/>
                <w:sz w:val="27"/>
                <w:szCs w:val="27"/>
              </w:rPr>
            </w:pPr>
            <w:bookmarkStart w:id="23" w:name="_Toc434196997"/>
            <w:bookmarkEnd w:id="23"/>
            <w:r w:rsidRPr="001F36F4">
              <w:rPr>
                <w:rFonts w:ascii="微软雅黑" w:eastAsia="微软雅黑" w:hAnsi="微软雅黑" w:cs="宋体" w:hint="eastAsia"/>
                <w:b/>
                <w:bCs/>
                <w:color w:val="000000" w:themeColor="text1"/>
                <w:kern w:val="0"/>
                <w:sz w:val="27"/>
                <w:szCs w:val="27"/>
              </w:rPr>
              <w:t xml:space="preserve">（五）矿业权设置与矿产资源管理现状 </w:t>
            </w:r>
          </w:p>
          <w:p w:rsidR="001F36F4" w:rsidRPr="001F36F4" w:rsidRDefault="001F36F4" w:rsidP="001F36F4">
            <w:pPr>
              <w:widowControl/>
              <w:spacing w:line="420" w:lineRule="atLeast"/>
              <w:ind w:firstLine="560"/>
              <w:jc w:val="left"/>
              <w:rPr>
                <w:rFonts w:ascii="微软雅黑" w:eastAsia="微软雅黑" w:hAnsi="微软雅黑" w:cs="宋体" w:hint="eastAsia"/>
                <w:color w:val="000000" w:themeColor="text1"/>
                <w:kern w:val="0"/>
                <w:sz w:val="24"/>
                <w:szCs w:val="24"/>
              </w:rPr>
            </w:pPr>
            <w:r w:rsidRPr="001F36F4">
              <w:rPr>
                <w:rFonts w:ascii="微软雅黑" w:eastAsia="微软雅黑" w:hAnsi="微软雅黑" w:cs="宋体" w:hint="eastAsia"/>
                <w:color w:val="000000" w:themeColor="text1"/>
                <w:kern w:val="0"/>
                <w:sz w:val="24"/>
                <w:szCs w:val="24"/>
              </w:rPr>
              <w:t xml:space="preserve">1. 矿业权设置现状与实施情况 </w:t>
            </w:r>
          </w:p>
          <w:p w:rsidR="001F36F4" w:rsidRPr="001F36F4" w:rsidRDefault="001F36F4" w:rsidP="001F36F4">
            <w:pPr>
              <w:widowControl/>
              <w:spacing w:line="420" w:lineRule="atLeast"/>
              <w:ind w:firstLine="560"/>
              <w:jc w:val="left"/>
              <w:rPr>
                <w:rFonts w:ascii="微软雅黑" w:eastAsia="微软雅黑" w:hAnsi="微软雅黑" w:cs="宋体" w:hint="eastAsia"/>
                <w:color w:val="000000" w:themeColor="text1"/>
                <w:kern w:val="0"/>
                <w:sz w:val="24"/>
                <w:szCs w:val="24"/>
              </w:rPr>
            </w:pPr>
            <w:r w:rsidRPr="001F36F4">
              <w:rPr>
                <w:rFonts w:ascii="微软雅黑" w:eastAsia="微软雅黑" w:hAnsi="微软雅黑" w:cs="宋体" w:hint="eastAsia"/>
                <w:color w:val="000000" w:themeColor="text1"/>
                <w:kern w:val="0"/>
                <w:sz w:val="24"/>
                <w:szCs w:val="24"/>
              </w:rPr>
              <w:t xml:space="preserve">淮安市于2012年及2014年分别编制和局部调整的二、三类矿种矿业权设置方案共划定各类二、三类矿种探矿权区块38个、采矿权区块126个，2014年修编的全省地热、矿泉水单矿种矿业权设置方案划定的淮安市地热探矿权区块8个，采矿权区块3个；矿泉水探矿权区块5个，采矿权区块4个。矿业权设置方案制度的建立与实施，细化了淮安市二轮矿产资源规划的落实，深化了矿业权监督管理机制，促进了矿业权管理方式的转变，推进了矿业权市场建设。 </w:t>
            </w:r>
          </w:p>
          <w:p w:rsidR="001F36F4" w:rsidRPr="001F36F4" w:rsidRDefault="001F36F4" w:rsidP="001F36F4">
            <w:pPr>
              <w:widowControl/>
              <w:spacing w:line="420" w:lineRule="atLeast"/>
              <w:ind w:firstLine="560"/>
              <w:jc w:val="left"/>
              <w:rPr>
                <w:rFonts w:ascii="微软雅黑" w:eastAsia="微软雅黑" w:hAnsi="微软雅黑" w:cs="宋体" w:hint="eastAsia"/>
                <w:color w:val="000000" w:themeColor="text1"/>
                <w:kern w:val="0"/>
                <w:sz w:val="24"/>
                <w:szCs w:val="24"/>
              </w:rPr>
            </w:pPr>
            <w:r w:rsidRPr="001F36F4">
              <w:rPr>
                <w:rFonts w:ascii="微软雅黑" w:eastAsia="微软雅黑" w:hAnsi="微软雅黑" w:cs="宋体" w:hint="eastAsia"/>
                <w:color w:val="000000" w:themeColor="text1"/>
                <w:kern w:val="0"/>
                <w:sz w:val="24"/>
                <w:szCs w:val="24"/>
              </w:rPr>
              <w:t xml:space="preserve">2. 矿产资源管理现状 </w:t>
            </w:r>
          </w:p>
          <w:p w:rsidR="001F36F4" w:rsidRPr="001F36F4" w:rsidRDefault="001F36F4" w:rsidP="001F36F4">
            <w:pPr>
              <w:widowControl/>
              <w:spacing w:line="420" w:lineRule="atLeast"/>
              <w:ind w:firstLine="560"/>
              <w:jc w:val="left"/>
              <w:rPr>
                <w:rFonts w:ascii="微软雅黑" w:eastAsia="微软雅黑" w:hAnsi="微软雅黑" w:cs="宋体" w:hint="eastAsia"/>
                <w:color w:val="000000" w:themeColor="text1"/>
                <w:kern w:val="0"/>
                <w:sz w:val="24"/>
                <w:szCs w:val="24"/>
              </w:rPr>
            </w:pPr>
            <w:r w:rsidRPr="001F36F4">
              <w:rPr>
                <w:rFonts w:ascii="微软雅黑" w:eastAsia="微软雅黑" w:hAnsi="微软雅黑" w:cs="宋体" w:hint="eastAsia"/>
                <w:color w:val="000000" w:themeColor="text1"/>
                <w:kern w:val="0"/>
                <w:sz w:val="24"/>
                <w:szCs w:val="24"/>
              </w:rPr>
              <w:t xml:space="preserve">淮安市强化全市的矿产资源开发监督管理工作，积极开展矿业权年检和实地核查工作，规范采矿权的审批管理，完善健全矿业权有形市场的建设，从而维护了矿产资源勘查开采秩序。开展矿产资源节约与综合利用专项工作，进一步提高了资源的综合利用水平。 </w:t>
            </w:r>
          </w:p>
          <w:p w:rsidR="001F36F4" w:rsidRPr="001F36F4" w:rsidRDefault="001F36F4" w:rsidP="001F36F4">
            <w:pPr>
              <w:widowControl/>
              <w:spacing w:before="100" w:beforeAutospacing="1" w:after="100" w:afterAutospacing="1" w:line="420" w:lineRule="atLeast"/>
              <w:ind w:firstLine="602"/>
              <w:jc w:val="left"/>
              <w:outlineLvl w:val="2"/>
              <w:rPr>
                <w:rFonts w:ascii="微软雅黑" w:eastAsia="微软雅黑" w:hAnsi="微软雅黑" w:cs="宋体" w:hint="eastAsia"/>
                <w:b/>
                <w:bCs/>
                <w:color w:val="000000" w:themeColor="text1"/>
                <w:kern w:val="0"/>
                <w:sz w:val="27"/>
                <w:szCs w:val="27"/>
              </w:rPr>
            </w:pPr>
            <w:bookmarkStart w:id="24" w:name="_Toc434196998"/>
            <w:bookmarkEnd w:id="24"/>
            <w:r w:rsidRPr="001F36F4">
              <w:rPr>
                <w:rFonts w:ascii="微软雅黑" w:eastAsia="微软雅黑" w:hAnsi="微软雅黑" w:cs="宋体" w:hint="eastAsia"/>
                <w:b/>
                <w:bCs/>
                <w:color w:val="000000" w:themeColor="text1"/>
                <w:kern w:val="0"/>
                <w:sz w:val="27"/>
                <w:szCs w:val="27"/>
              </w:rPr>
              <w:lastRenderedPageBreak/>
              <w:t xml:space="preserve">（六）矿山地质环境保护与治理现状 </w:t>
            </w:r>
          </w:p>
          <w:p w:rsidR="001F36F4" w:rsidRPr="001F36F4" w:rsidRDefault="001F36F4" w:rsidP="001F36F4">
            <w:pPr>
              <w:widowControl/>
              <w:spacing w:line="420" w:lineRule="atLeast"/>
              <w:ind w:firstLine="554"/>
              <w:jc w:val="left"/>
              <w:rPr>
                <w:rFonts w:ascii="微软雅黑" w:eastAsia="微软雅黑" w:hAnsi="微软雅黑" w:cs="宋体" w:hint="eastAsia"/>
                <w:color w:val="000000" w:themeColor="text1"/>
                <w:kern w:val="0"/>
                <w:sz w:val="24"/>
                <w:szCs w:val="24"/>
              </w:rPr>
            </w:pPr>
            <w:r w:rsidRPr="001F36F4">
              <w:rPr>
                <w:rFonts w:ascii="微软雅黑" w:eastAsia="微软雅黑" w:hAnsi="微软雅黑" w:cs="宋体" w:hint="eastAsia"/>
                <w:color w:val="000000" w:themeColor="text1"/>
                <w:kern w:val="0"/>
                <w:sz w:val="24"/>
                <w:szCs w:val="24"/>
              </w:rPr>
              <w:t>淮安市对全市范围内“三区两线”直观可视范围内矿山地质环境问题进行全面排查，基本摸清了全市所有露采矿山的矿山地质环境现状，开展了以关闭露采矿山为主的地质环境治理和生态修复工作。截止2015年底，全市矿山地质环境保护与治理共投入资金4456.89万元，治理矿山</w:t>
            </w:r>
            <w:proofErr w:type="gramStart"/>
            <w:r w:rsidRPr="001F36F4">
              <w:rPr>
                <w:rFonts w:ascii="微软雅黑" w:eastAsia="微软雅黑" w:hAnsi="微软雅黑" w:cs="宋体" w:hint="eastAsia"/>
                <w:color w:val="000000" w:themeColor="text1"/>
                <w:kern w:val="0"/>
                <w:sz w:val="24"/>
                <w:szCs w:val="24"/>
              </w:rPr>
              <w:t>宕</w:t>
            </w:r>
            <w:proofErr w:type="gramEnd"/>
            <w:r w:rsidRPr="001F36F4">
              <w:rPr>
                <w:rFonts w:ascii="微软雅黑" w:eastAsia="微软雅黑" w:hAnsi="微软雅黑" w:cs="宋体" w:hint="eastAsia"/>
                <w:color w:val="000000" w:themeColor="text1"/>
                <w:kern w:val="0"/>
                <w:sz w:val="24"/>
                <w:szCs w:val="24"/>
              </w:rPr>
              <w:t xml:space="preserve">口23个，治理总面积193.33万平方米。 </w:t>
            </w:r>
          </w:p>
          <w:p w:rsidR="001F36F4" w:rsidRPr="001F36F4" w:rsidRDefault="001F36F4" w:rsidP="001F36F4">
            <w:pPr>
              <w:widowControl/>
              <w:spacing w:line="420" w:lineRule="atLeast"/>
              <w:ind w:firstLine="560"/>
              <w:jc w:val="left"/>
              <w:rPr>
                <w:rFonts w:ascii="微软雅黑" w:eastAsia="微软雅黑" w:hAnsi="微软雅黑" w:cs="宋体" w:hint="eastAsia"/>
                <w:color w:val="000000" w:themeColor="text1"/>
                <w:kern w:val="0"/>
                <w:sz w:val="24"/>
                <w:szCs w:val="24"/>
              </w:rPr>
            </w:pPr>
            <w:r w:rsidRPr="001F36F4">
              <w:rPr>
                <w:rFonts w:ascii="微软雅黑" w:eastAsia="微软雅黑" w:hAnsi="微软雅黑" w:cs="宋体" w:hint="eastAsia"/>
                <w:color w:val="000000" w:themeColor="text1"/>
                <w:kern w:val="0"/>
                <w:sz w:val="24"/>
                <w:szCs w:val="24"/>
              </w:rPr>
              <w:t>通过矿山地质环境综合整治，取得了明显的生态环境效益，同时将矿山地质环境整治与土地资源开发及城市建设扩展相结合，部分矿山废弃地作为宝贵的土地资源得到重新利用。矿山地质环境治理过程中总结摸索出的“都梁广场”模式和“象山”模式，为全市矿山地质环境保护与恢复治理起到了良好的示范作用和借鉴作用，提供了有益的经验。由于本市历史采矿遗留采矿</w:t>
            </w:r>
            <w:proofErr w:type="gramStart"/>
            <w:r w:rsidRPr="001F36F4">
              <w:rPr>
                <w:rFonts w:ascii="微软雅黑" w:eastAsia="微软雅黑" w:hAnsi="微软雅黑" w:cs="宋体" w:hint="eastAsia"/>
                <w:color w:val="000000" w:themeColor="text1"/>
                <w:kern w:val="0"/>
                <w:sz w:val="24"/>
                <w:szCs w:val="24"/>
              </w:rPr>
              <w:t>宕</w:t>
            </w:r>
            <w:proofErr w:type="gramEnd"/>
            <w:r w:rsidRPr="001F36F4">
              <w:rPr>
                <w:rFonts w:ascii="微软雅黑" w:eastAsia="微软雅黑" w:hAnsi="微软雅黑" w:cs="宋体" w:hint="eastAsia"/>
                <w:color w:val="000000" w:themeColor="text1"/>
                <w:kern w:val="0"/>
                <w:sz w:val="24"/>
                <w:szCs w:val="24"/>
              </w:rPr>
              <w:t xml:space="preserve">口较多，治理经费有限，尚有众多露采矿山需要治理，全面完成露采矿山的地质环境治理工作，任重而道远。 </w:t>
            </w:r>
          </w:p>
          <w:p w:rsidR="001F36F4" w:rsidRPr="001F36F4" w:rsidRDefault="001F36F4" w:rsidP="001F36F4">
            <w:pPr>
              <w:widowControl/>
              <w:spacing w:before="100" w:beforeAutospacing="1" w:after="100" w:afterAutospacing="1" w:line="420" w:lineRule="atLeast"/>
              <w:ind w:firstLine="602"/>
              <w:jc w:val="left"/>
              <w:outlineLvl w:val="2"/>
              <w:rPr>
                <w:rFonts w:ascii="微软雅黑" w:eastAsia="微软雅黑" w:hAnsi="微软雅黑" w:cs="宋体" w:hint="eastAsia"/>
                <w:b/>
                <w:bCs/>
                <w:color w:val="000000" w:themeColor="text1"/>
                <w:kern w:val="0"/>
                <w:sz w:val="27"/>
                <w:szCs w:val="27"/>
              </w:rPr>
            </w:pPr>
            <w:bookmarkStart w:id="25" w:name="_Toc434196999"/>
            <w:bookmarkEnd w:id="25"/>
            <w:r w:rsidRPr="001F36F4">
              <w:rPr>
                <w:rFonts w:ascii="微软雅黑" w:eastAsia="微软雅黑" w:hAnsi="微软雅黑" w:cs="宋体" w:hint="eastAsia"/>
                <w:b/>
                <w:bCs/>
                <w:color w:val="000000" w:themeColor="text1"/>
                <w:kern w:val="0"/>
                <w:sz w:val="27"/>
                <w:szCs w:val="27"/>
              </w:rPr>
              <w:t xml:space="preserve">（七）地质矿产工作中存在的主要问题 </w:t>
            </w:r>
          </w:p>
          <w:p w:rsidR="001F36F4" w:rsidRPr="001F36F4" w:rsidRDefault="001F36F4" w:rsidP="001F36F4">
            <w:pPr>
              <w:widowControl/>
              <w:spacing w:line="420" w:lineRule="atLeast"/>
              <w:ind w:firstLine="560"/>
              <w:jc w:val="left"/>
              <w:rPr>
                <w:rFonts w:ascii="微软雅黑" w:eastAsia="微软雅黑" w:hAnsi="微软雅黑" w:cs="宋体" w:hint="eastAsia"/>
                <w:color w:val="000000" w:themeColor="text1"/>
                <w:kern w:val="0"/>
                <w:sz w:val="24"/>
                <w:szCs w:val="24"/>
              </w:rPr>
            </w:pPr>
            <w:bookmarkStart w:id="26" w:name="_Toc430959688"/>
            <w:bookmarkEnd w:id="26"/>
            <w:r w:rsidRPr="001F36F4">
              <w:rPr>
                <w:rFonts w:ascii="微软雅黑" w:eastAsia="微软雅黑" w:hAnsi="微软雅黑" w:cs="宋体" w:hint="eastAsia"/>
                <w:color w:val="000000" w:themeColor="text1"/>
                <w:kern w:val="0"/>
                <w:sz w:val="24"/>
                <w:szCs w:val="24"/>
              </w:rPr>
              <w:t xml:space="preserve">1. 矿产资源节约与综合利用水平有待进一步提高 </w:t>
            </w:r>
          </w:p>
          <w:p w:rsidR="001F36F4" w:rsidRPr="001F36F4" w:rsidRDefault="001F36F4" w:rsidP="001F36F4">
            <w:pPr>
              <w:widowControl/>
              <w:spacing w:line="420" w:lineRule="atLeast"/>
              <w:ind w:firstLine="560"/>
              <w:jc w:val="left"/>
              <w:rPr>
                <w:rFonts w:ascii="微软雅黑" w:eastAsia="微软雅黑" w:hAnsi="微软雅黑" w:cs="宋体" w:hint="eastAsia"/>
                <w:color w:val="000000" w:themeColor="text1"/>
                <w:kern w:val="0"/>
                <w:sz w:val="24"/>
                <w:szCs w:val="24"/>
              </w:rPr>
            </w:pPr>
            <w:r w:rsidRPr="001F36F4">
              <w:rPr>
                <w:rFonts w:ascii="微软雅黑" w:eastAsia="微软雅黑" w:hAnsi="微软雅黑" w:cs="宋体" w:hint="eastAsia"/>
                <w:color w:val="000000" w:themeColor="text1"/>
                <w:kern w:val="0"/>
                <w:sz w:val="24"/>
                <w:szCs w:val="24"/>
              </w:rPr>
              <w:t>淮安市共（伴）生的矿产主要是岩盐中含钙芒硝、芒硝中含石盐，</w:t>
            </w:r>
            <w:proofErr w:type="gramStart"/>
            <w:r w:rsidRPr="001F36F4">
              <w:rPr>
                <w:rFonts w:ascii="微软雅黑" w:eastAsia="微软雅黑" w:hAnsi="微软雅黑" w:cs="宋体" w:hint="eastAsia"/>
                <w:color w:val="000000" w:themeColor="text1"/>
                <w:kern w:val="0"/>
                <w:sz w:val="24"/>
                <w:szCs w:val="24"/>
              </w:rPr>
              <w:t>凹凸棒石粘土</w:t>
            </w:r>
            <w:proofErr w:type="gramEnd"/>
            <w:r w:rsidRPr="001F36F4">
              <w:rPr>
                <w:rFonts w:ascii="微软雅黑" w:eastAsia="微软雅黑" w:hAnsi="微软雅黑" w:cs="宋体" w:hint="eastAsia"/>
                <w:color w:val="000000" w:themeColor="text1"/>
                <w:kern w:val="0"/>
                <w:sz w:val="24"/>
                <w:szCs w:val="24"/>
              </w:rPr>
              <w:t>中含膨润土、海泡石粘土等,由于科技创新能力不足，与我市资源特点相适应的综合利用技术缺乏，有价元素尚未得到充分回收利用，“三废”的治理与利用仍待更进一步。</w:t>
            </w:r>
            <w:proofErr w:type="gramStart"/>
            <w:r w:rsidRPr="001F36F4">
              <w:rPr>
                <w:rFonts w:ascii="微软雅黑" w:eastAsia="微软雅黑" w:hAnsi="微软雅黑" w:cs="宋体" w:hint="eastAsia"/>
                <w:color w:val="000000" w:themeColor="text1"/>
                <w:kern w:val="0"/>
                <w:sz w:val="24"/>
                <w:szCs w:val="24"/>
              </w:rPr>
              <w:t>凹凸棒石粘土</w:t>
            </w:r>
            <w:proofErr w:type="gramEnd"/>
            <w:r w:rsidRPr="001F36F4">
              <w:rPr>
                <w:rFonts w:ascii="微软雅黑" w:eastAsia="微软雅黑" w:hAnsi="微软雅黑" w:cs="宋体" w:hint="eastAsia"/>
                <w:color w:val="000000" w:themeColor="text1"/>
                <w:kern w:val="0"/>
                <w:sz w:val="24"/>
                <w:szCs w:val="24"/>
              </w:rPr>
              <w:t>这一优势矿产虽然在综合利用、矿产品深加工方面做了大量投入，但依然存在产品科技含量和附加值不高、产量不高，规模效</w:t>
            </w:r>
            <w:r w:rsidRPr="001F36F4">
              <w:rPr>
                <w:rFonts w:ascii="微软雅黑" w:eastAsia="微软雅黑" w:hAnsi="微软雅黑" w:cs="宋体" w:hint="eastAsia"/>
                <w:color w:val="000000" w:themeColor="text1"/>
                <w:kern w:val="0"/>
                <w:sz w:val="24"/>
                <w:szCs w:val="24"/>
              </w:rPr>
              <w:lastRenderedPageBreak/>
              <w:t>益不高的现象。由于资金实力弱，市场开拓能力较差，企业研发水平比较低，一些制约产业发展的技术瓶颈问题尚未取得突破性进展，</w:t>
            </w:r>
            <w:proofErr w:type="gramStart"/>
            <w:r w:rsidRPr="001F36F4">
              <w:rPr>
                <w:rFonts w:ascii="微软雅黑" w:eastAsia="微软雅黑" w:hAnsi="微软雅黑" w:cs="宋体" w:hint="eastAsia"/>
                <w:color w:val="000000" w:themeColor="text1"/>
                <w:kern w:val="0"/>
                <w:sz w:val="24"/>
                <w:szCs w:val="24"/>
              </w:rPr>
              <w:t>凹土产业</w:t>
            </w:r>
            <w:proofErr w:type="gramEnd"/>
            <w:r w:rsidRPr="001F36F4">
              <w:rPr>
                <w:rFonts w:ascii="微软雅黑" w:eastAsia="微软雅黑" w:hAnsi="微软雅黑" w:cs="宋体" w:hint="eastAsia"/>
                <w:color w:val="000000" w:themeColor="text1"/>
                <w:kern w:val="0"/>
                <w:sz w:val="24"/>
                <w:szCs w:val="24"/>
              </w:rPr>
              <w:t>链亦未完全形成，因而</w:t>
            </w:r>
            <w:proofErr w:type="gramStart"/>
            <w:r w:rsidRPr="001F36F4">
              <w:rPr>
                <w:rFonts w:ascii="微软雅黑" w:eastAsia="微软雅黑" w:hAnsi="微软雅黑" w:cs="宋体" w:hint="eastAsia"/>
                <w:color w:val="000000" w:themeColor="text1"/>
                <w:kern w:val="0"/>
                <w:sz w:val="24"/>
                <w:szCs w:val="24"/>
              </w:rPr>
              <w:t>凹土产业</w:t>
            </w:r>
            <w:proofErr w:type="gramEnd"/>
            <w:r w:rsidRPr="001F36F4">
              <w:rPr>
                <w:rFonts w:ascii="微软雅黑" w:eastAsia="微软雅黑" w:hAnsi="微软雅黑" w:cs="宋体" w:hint="eastAsia"/>
                <w:color w:val="000000" w:themeColor="text1"/>
                <w:kern w:val="0"/>
                <w:sz w:val="24"/>
                <w:szCs w:val="24"/>
              </w:rPr>
              <w:t xml:space="preserve">仍有较大的发展空间和潜力。粘土类矿产开发利用方式多数仍为粗放型传统方式，大多数粘土类矿山企业的矿产品为初加工产品，品种单一，原矿和粗加工产品生产总量较大。 </w:t>
            </w:r>
          </w:p>
          <w:p w:rsidR="001F36F4" w:rsidRPr="001F36F4" w:rsidRDefault="001F36F4" w:rsidP="001F36F4">
            <w:pPr>
              <w:widowControl/>
              <w:spacing w:line="420" w:lineRule="atLeast"/>
              <w:ind w:firstLine="560"/>
              <w:jc w:val="left"/>
              <w:rPr>
                <w:rFonts w:ascii="微软雅黑" w:eastAsia="微软雅黑" w:hAnsi="微软雅黑" w:cs="宋体" w:hint="eastAsia"/>
                <w:color w:val="000000" w:themeColor="text1"/>
                <w:kern w:val="0"/>
                <w:sz w:val="24"/>
                <w:szCs w:val="24"/>
              </w:rPr>
            </w:pPr>
            <w:bookmarkStart w:id="27" w:name="_Toc430959689"/>
            <w:bookmarkEnd w:id="27"/>
            <w:r w:rsidRPr="001F36F4">
              <w:rPr>
                <w:rFonts w:ascii="微软雅黑" w:eastAsia="微软雅黑" w:hAnsi="微软雅黑" w:cs="宋体" w:hint="eastAsia"/>
                <w:color w:val="000000" w:themeColor="text1"/>
                <w:kern w:val="0"/>
                <w:sz w:val="24"/>
                <w:szCs w:val="24"/>
              </w:rPr>
              <w:t xml:space="preserve">2. 矿产资源开发与环境保护的矛盾突出 </w:t>
            </w:r>
          </w:p>
          <w:p w:rsidR="001F36F4" w:rsidRPr="001F36F4" w:rsidRDefault="001F36F4" w:rsidP="001F36F4">
            <w:pPr>
              <w:widowControl/>
              <w:spacing w:line="420" w:lineRule="atLeast"/>
              <w:ind w:firstLine="560"/>
              <w:jc w:val="left"/>
              <w:rPr>
                <w:rFonts w:ascii="微软雅黑" w:eastAsia="微软雅黑" w:hAnsi="微软雅黑" w:cs="宋体" w:hint="eastAsia"/>
                <w:color w:val="000000" w:themeColor="text1"/>
                <w:kern w:val="0"/>
                <w:szCs w:val="21"/>
              </w:rPr>
            </w:pPr>
            <w:r w:rsidRPr="001F36F4">
              <w:rPr>
                <w:rFonts w:ascii="微软雅黑" w:eastAsia="微软雅黑" w:hAnsi="微软雅黑" w:cs="宋体" w:hint="eastAsia"/>
                <w:color w:val="000000" w:themeColor="text1"/>
                <w:kern w:val="0"/>
                <w:szCs w:val="21"/>
              </w:rPr>
              <w:t xml:space="preserve">淮安市由于多年来矿山环境治理意识不足，造成大部分矿山企业只开采，不治理，在采选矿过程中，均未采取行之有效的环境保护措施，造成矿山环境问题“积淀”，加重了治理的难度。露采矿山在采石过程中，斜坡式开采留下陡峭、光滑的石壁，治理工程量大；部分矿区采石对地表植被和土壤结构的毁灭性破坏，生态环境难以恢复；复垦工程耗资巨大，致使大部分地方的复垦工作进展缓慢，生态恢复率不高。 </w:t>
            </w:r>
          </w:p>
          <w:p w:rsidR="001F36F4" w:rsidRPr="001F36F4" w:rsidRDefault="001F36F4" w:rsidP="001F36F4">
            <w:pPr>
              <w:widowControl/>
              <w:spacing w:line="420" w:lineRule="atLeast"/>
              <w:ind w:firstLine="560"/>
              <w:jc w:val="left"/>
              <w:rPr>
                <w:rFonts w:ascii="微软雅黑" w:eastAsia="微软雅黑" w:hAnsi="微软雅黑" w:cs="宋体" w:hint="eastAsia"/>
                <w:color w:val="000000" w:themeColor="text1"/>
                <w:kern w:val="0"/>
                <w:sz w:val="24"/>
                <w:szCs w:val="24"/>
              </w:rPr>
            </w:pPr>
            <w:bookmarkStart w:id="28" w:name="_Toc430959690"/>
            <w:bookmarkEnd w:id="28"/>
            <w:r w:rsidRPr="001F36F4">
              <w:rPr>
                <w:rFonts w:ascii="微软雅黑" w:eastAsia="微软雅黑" w:hAnsi="微软雅黑" w:cs="宋体" w:hint="eastAsia"/>
                <w:color w:val="000000" w:themeColor="text1"/>
                <w:kern w:val="0"/>
                <w:sz w:val="24"/>
                <w:szCs w:val="24"/>
              </w:rPr>
              <w:t xml:space="preserve">3. 矿产资源开发与基础设施建设相矛盾 </w:t>
            </w:r>
          </w:p>
          <w:p w:rsidR="001F36F4" w:rsidRPr="001F36F4" w:rsidRDefault="001F36F4" w:rsidP="001F36F4">
            <w:pPr>
              <w:widowControl/>
              <w:spacing w:line="420" w:lineRule="atLeast"/>
              <w:ind w:firstLine="560"/>
              <w:jc w:val="left"/>
              <w:rPr>
                <w:rFonts w:ascii="微软雅黑" w:eastAsia="微软雅黑" w:hAnsi="微软雅黑" w:cs="宋体" w:hint="eastAsia"/>
                <w:color w:val="000000" w:themeColor="text1"/>
                <w:kern w:val="0"/>
                <w:sz w:val="24"/>
                <w:szCs w:val="24"/>
              </w:rPr>
            </w:pPr>
            <w:r w:rsidRPr="001F36F4">
              <w:rPr>
                <w:rFonts w:ascii="微软雅黑" w:eastAsia="微软雅黑" w:hAnsi="微软雅黑" w:cs="宋体" w:hint="eastAsia"/>
                <w:color w:val="000000" w:themeColor="text1"/>
                <w:kern w:val="0"/>
                <w:sz w:val="24"/>
                <w:szCs w:val="24"/>
              </w:rPr>
              <w:t>淮安市岩盐远景资源储量约1300亿吨、芒硝约270亿吨，主要分布在淮安盐盆和洪泽盐盆；矿区面积329平方千米，其中淮安盐盆有近200平方公里处于城市规划区，无法设置矿业权。目前已取得探矿权的勘查面积31.64平方千米，已取得采矿许可证的采矿面积约31平方千米，剩余仅67平方</w:t>
            </w:r>
            <w:proofErr w:type="gramStart"/>
            <w:r w:rsidRPr="001F36F4">
              <w:rPr>
                <w:rFonts w:ascii="微软雅黑" w:eastAsia="微软雅黑" w:hAnsi="微软雅黑" w:cs="宋体" w:hint="eastAsia"/>
                <w:color w:val="000000" w:themeColor="text1"/>
                <w:kern w:val="0"/>
                <w:sz w:val="24"/>
                <w:szCs w:val="24"/>
              </w:rPr>
              <w:t>千米可</w:t>
            </w:r>
            <w:proofErr w:type="gramEnd"/>
            <w:r w:rsidRPr="001F36F4">
              <w:rPr>
                <w:rFonts w:ascii="微软雅黑" w:eastAsia="微软雅黑" w:hAnsi="微软雅黑" w:cs="宋体" w:hint="eastAsia"/>
                <w:color w:val="000000" w:themeColor="text1"/>
                <w:kern w:val="0"/>
                <w:sz w:val="24"/>
                <w:szCs w:val="24"/>
              </w:rPr>
              <w:t xml:space="preserve">增设探矿权。 </w:t>
            </w:r>
          </w:p>
          <w:p w:rsidR="001F36F4" w:rsidRPr="001F36F4" w:rsidRDefault="001F36F4" w:rsidP="001F36F4">
            <w:pPr>
              <w:widowControl/>
              <w:spacing w:before="100" w:beforeAutospacing="1" w:after="100" w:afterAutospacing="1" w:line="420" w:lineRule="atLeast"/>
              <w:ind w:firstLine="643"/>
              <w:jc w:val="left"/>
              <w:outlineLvl w:val="1"/>
              <w:rPr>
                <w:rFonts w:ascii="微软雅黑" w:eastAsia="微软雅黑" w:hAnsi="微软雅黑" w:cs="宋体" w:hint="eastAsia"/>
                <w:b/>
                <w:bCs/>
                <w:color w:val="000000" w:themeColor="text1"/>
                <w:kern w:val="0"/>
                <w:sz w:val="36"/>
                <w:szCs w:val="36"/>
              </w:rPr>
            </w:pPr>
            <w:bookmarkStart w:id="29" w:name="_Toc465119636"/>
            <w:bookmarkEnd w:id="29"/>
            <w:r w:rsidRPr="001F36F4">
              <w:rPr>
                <w:rFonts w:ascii="微软雅黑" w:eastAsia="微软雅黑" w:hAnsi="微软雅黑" w:cs="宋体" w:hint="eastAsia"/>
                <w:b/>
                <w:bCs/>
                <w:color w:val="000000" w:themeColor="text1"/>
                <w:kern w:val="0"/>
                <w:sz w:val="36"/>
                <w:szCs w:val="36"/>
              </w:rPr>
              <w:t xml:space="preserve">三、形势与要求 </w:t>
            </w:r>
          </w:p>
          <w:p w:rsidR="001F36F4" w:rsidRPr="001F36F4" w:rsidRDefault="001F36F4" w:rsidP="001F36F4">
            <w:pPr>
              <w:widowControl/>
              <w:spacing w:line="420" w:lineRule="atLeast"/>
              <w:ind w:firstLine="567"/>
              <w:jc w:val="left"/>
              <w:rPr>
                <w:rFonts w:ascii="微软雅黑" w:eastAsia="微软雅黑" w:hAnsi="微软雅黑" w:cs="宋体" w:hint="eastAsia"/>
                <w:color w:val="000000" w:themeColor="text1"/>
                <w:kern w:val="0"/>
                <w:sz w:val="24"/>
                <w:szCs w:val="24"/>
              </w:rPr>
            </w:pPr>
            <w:r w:rsidRPr="001F36F4">
              <w:rPr>
                <w:rFonts w:ascii="微软雅黑" w:eastAsia="微软雅黑" w:hAnsi="微软雅黑" w:cs="宋体" w:hint="eastAsia"/>
                <w:color w:val="000000" w:themeColor="text1"/>
                <w:kern w:val="0"/>
                <w:sz w:val="24"/>
                <w:szCs w:val="24"/>
              </w:rPr>
              <w:t>根据淮安市矿产资源的现状、潜力和市场需求趋势，“十三五”规划期间，淮安市要加强基础地质勘查，不断拓展和提升地质工作的社会服务功能；加强优势矿产的远景调查和勘查规划，尤其是岩盐、芒硝、</w:t>
            </w:r>
            <w:proofErr w:type="gramStart"/>
            <w:r w:rsidRPr="001F36F4">
              <w:rPr>
                <w:rFonts w:ascii="微软雅黑" w:eastAsia="微软雅黑" w:hAnsi="微软雅黑" w:cs="宋体" w:hint="eastAsia"/>
                <w:color w:val="000000" w:themeColor="text1"/>
                <w:kern w:val="0"/>
                <w:sz w:val="24"/>
                <w:szCs w:val="24"/>
              </w:rPr>
              <w:t>凹</w:t>
            </w:r>
            <w:proofErr w:type="gramEnd"/>
            <w:r w:rsidRPr="001F36F4">
              <w:rPr>
                <w:rFonts w:ascii="微软雅黑" w:eastAsia="微软雅黑" w:hAnsi="微软雅黑" w:cs="宋体" w:hint="eastAsia"/>
                <w:color w:val="000000" w:themeColor="text1"/>
                <w:kern w:val="0"/>
                <w:sz w:val="24"/>
                <w:szCs w:val="24"/>
              </w:rPr>
              <w:t>土、地热要作为本市地质</w:t>
            </w:r>
            <w:r w:rsidRPr="001F36F4">
              <w:rPr>
                <w:rFonts w:ascii="微软雅黑" w:eastAsia="微软雅黑" w:hAnsi="微软雅黑" w:cs="宋体" w:hint="eastAsia"/>
                <w:color w:val="000000" w:themeColor="text1"/>
                <w:kern w:val="0"/>
                <w:sz w:val="24"/>
                <w:szCs w:val="24"/>
              </w:rPr>
              <w:lastRenderedPageBreak/>
              <w:t xml:space="preserve">勘查工作的重点，为资源优势向经济优势的转变提供更为可靠的资源保障。需更进一步倡导矿产资源综合利用，切实提高矿产资源综合利用水平，注重矿产品的深加工，推进矿业经济向纵深发展。继续加强在采矿山和关闭矿山的矿山地质环境保护和治理恢复，全面推进“绿色矿山”的建设，发展绿色矿业，为矿山生存发展提供更为有利的空间条件。 </w:t>
            </w:r>
          </w:p>
          <w:p w:rsidR="001F36F4" w:rsidRPr="001F36F4" w:rsidRDefault="001F36F4" w:rsidP="001F36F4">
            <w:pPr>
              <w:widowControl/>
              <w:spacing w:line="420" w:lineRule="atLeast"/>
              <w:jc w:val="left"/>
              <w:rPr>
                <w:rFonts w:ascii="微软雅黑" w:eastAsia="微软雅黑" w:hAnsi="微软雅黑" w:cs="宋体"/>
                <w:color w:val="000000" w:themeColor="text1"/>
                <w:kern w:val="0"/>
                <w:szCs w:val="21"/>
              </w:rPr>
            </w:pPr>
            <w:r w:rsidRPr="001F36F4">
              <w:rPr>
                <w:rFonts w:ascii="微软雅黑" w:eastAsia="微软雅黑" w:hAnsi="微软雅黑" w:cs="宋体" w:hint="eastAsia"/>
                <w:color w:val="000000" w:themeColor="text1"/>
                <w:kern w:val="0"/>
                <w:szCs w:val="21"/>
              </w:rPr>
              <w:t xml:space="preserve">淮安市需要更多地依靠科技创新与资源节约形成新的经济发展方式，推动生态文明建设。积极转变地质服务功能，着力构建科学合理的国土空间开发与保护格局。推进深化改革，充分发挥市场在资源配置中的决定性作用和规划的宏观指导作用，实现资源利用、环境保护和民生改善的共赢局面。 </w:t>
            </w:r>
          </w:p>
        </w:tc>
      </w:tr>
    </w:tbl>
    <w:p w:rsidR="00BF5648" w:rsidRPr="002019BA" w:rsidRDefault="00BF5648">
      <w:pPr>
        <w:rPr>
          <w:color w:val="000000" w:themeColor="text1"/>
        </w:rPr>
      </w:pPr>
    </w:p>
    <w:sectPr w:rsidR="00BF5648" w:rsidRPr="002019BA" w:rsidSect="00F1060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F36F4"/>
    <w:rsid w:val="000109EA"/>
    <w:rsid w:val="000143E0"/>
    <w:rsid w:val="00014FB1"/>
    <w:rsid w:val="00015C1B"/>
    <w:rsid w:val="00022591"/>
    <w:rsid w:val="00027B8A"/>
    <w:rsid w:val="000310E3"/>
    <w:rsid w:val="00034EF2"/>
    <w:rsid w:val="000417FF"/>
    <w:rsid w:val="00044519"/>
    <w:rsid w:val="00045D08"/>
    <w:rsid w:val="00050CD4"/>
    <w:rsid w:val="00051F26"/>
    <w:rsid w:val="000535B8"/>
    <w:rsid w:val="00053B81"/>
    <w:rsid w:val="000622E8"/>
    <w:rsid w:val="00064B7B"/>
    <w:rsid w:val="00066452"/>
    <w:rsid w:val="0006730B"/>
    <w:rsid w:val="00070E3C"/>
    <w:rsid w:val="00082859"/>
    <w:rsid w:val="000833F1"/>
    <w:rsid w:val="0008571C"/>
    <w:rsid w:val="00087782"/>
    <w:rsid w:val="00090717"/>
    <w:rsid w:val="00092933"/>
    <w:rsid w:val="00092E40"/>
    <w:rsid w:val="000972EC"/>
    <w:rsid w:val="000A0BA0"/>
    <w:rsid w:val="000B4961"/>
    <w:rsid w:val="000B534E"/>
    <w:rsid w:val="000C213C"/>
    <w:rsid w:val="000C3072"/>
    <w:rsid w:val="000C38D7"/>
    <w:rsid w:val="000C3EF6"/>
    <w:rsid w:val="000C72F7"/>
    <w:rsid w:val="000D39BA"/>
    <w:rsid w:val="000D6B0C"/>
    <w:rsid w:val="000D7384"/>
    <w:rsid w:val="000E290A"/>
    <w:rsid w:val="000E40CB"/>
    <w:rsid w:val="000E492E"/>
    <w:rsid w:val="000E4E26"/>
    <w:rsid w:val="000E61FE"/>
    <w:rsid w:val="000E6341"/>
    <w:rsid w:val="000E74F5"/>
    <w:rsid w:val="000F0991"/>
    <w:rsid w:val="000F1548"/>
    <w:rsid w:val="000F1D79"/>
    <w:rsid w:val="000F35B2"/>
    <w:rsid w:val="000F3EBA"/>
    <w:rsid w:val="000F75B2"/>
    <w:rsid w:val="0010072B"/>
    <w:rsid w:val="00103307"/>
    <w:rsid w:val="0011045E"/>
    <w:rsid w:val="001124EC"/>
    <w:rsid w:val="001168CC"/>
    <w:rsid w:val="00122A23"/>
    <w:rsid w:val="00123A75"/>
    <w:rsid w:val="00131672"/>
    <w:rsid w:val="00134049"/>
    <w:rsid w:val="001415B1"/>
    <w:rsid w:val="00145AD5"/>
    <w:rsid w:val="00161921"/>
    <w:rsid w:val="00166D11"/>
    <w:rsid w:val="00166F0D"/>
    <w:rsid w:val="00167DCD"/>
    <w:rsid w:val="00171613"/>
    <w:rsid w:val="00174DD1"/>
    <w:rsid w:val="0018577C"/>
    <w:rsid w:val="001902E9"/>
    <w:rsid w:val="00191287"/>
    <w:rsid w:val="001943CF"/>
    <w:rsid w:val="001A08A2"/>
    <w:rsid w:val="001A0E91"/>
    <w:rsid w:val="001A53D3"/>
    <w:rsid w:val="001B0C48"/>
    <w:rsid w:val="001B1645"/>
    <w:rsid w:val="001B5C7D"/>
    <w:rsid w:val="001B604A"/>
    <w:rsid w:val="001B6FE6"/>
    <w:rsid w:val="001C1218"/>
    <w:rsid w:val="001C1499"/>
    <w:rsid w:val="001C459A"/>
    <w:rsid w:val="001C50C1"/>
    <w:rsid w:val="001C6826"/>
    <w:rsid w:val="001D3B48"/>
    <w:rsid w:val="001D4417"/>
    <w:rsid w:val="001D7B97"/>
    <w:rsid w:val="001E0ED2"/>
    <w:rsid w:val="001E2D94"/>
    <w:rsid w:val="001E4F6A"/>
    <w:rsid w:val="001E7D0C"/>
    <w:rsid w:val="001F0708"/>
    <w:rsid w:val="001F36F4"/>
    <w:rsid w:val="002019B5"/>
    <w:rsid w:val="002019BA"/>
    <w:rsid w:val="00202FE4"/>
    <w:rsid w:val="00206161"/>
    <w:rsid w:val="0021276D"/>
    <w:rsid w:val="0021582E"/>
    <w:rsid w:val="002163E7"/>
    <w:rsid w:val="0022047C"/>
    <w:rsid w:val="002215EE"/>
    <w:rsid w:val="00221CB3"/>
    <w:rsid w:val="00227AD0"/>
    <w:rsid w:val="002301A0"/>
    <w:rsid w:val="002509BB"/>
    <w:rsid w:val="00250D54"/>
    <w:rsid w:val="002663F2"/>
    <w:rsid w:val="00266C01"/>
    <w:rsid w:val="002724F2"/>
    <w:rsid w:val="002727C2"/>
    <w:rsid w:val="002738EE"/>
    <w:rsid w:val="00275BC9"/>
    <w:rsid w:val="002805F2"/>
    <w:rsid w:val="0028453E"/>
    <w:rsid w:val="00287544"/>
    <w:rsid w:val="00291D3D"/>
    <w:rsid w:val="002A158E"/>
    <w:rsid w:val="002A26DA"/>
    <w:rsid w:val="002B08FD"/>
    <w:rsid w:val="002B2DFB"/>
    <w:rsid w:val="002B4C0F"/>
    <w:rsid w:val="002B4F82"/>
    <w:rsid w:val="002B59A7"/>
    <w:rsid w:val="002B6DAB"/>
    <w:rsid w:val="002B749B"/>
    <w:rsid w:val="002B78C7"/>
    <w:rsid w:val="002C0024"/>
    <w:rsid w:val="002C0E2D"/>
    <w:rsid w:val="002C1900"/>
    <w:rsid w:val="002C2420"/>
    <w:rsid w:val="002C2DB7"/>
    <w:rsid w:val="002C5584"/>
    <w:rsid w:val="002D0D6A"/>
    <w:rsid w:val="002D4134"/>
    <w:rsid w:val="002E4ACF"/>
    <w:rsid w:val="002F0521"/>
    <w:rsid w:val="002F22DC"/>
    <w:rsid w:val="002F3C9B"/>
    <w:rsid w:val="002F7FAB"/>
    <w:rsid w:val="00301B61"/>
    <w:rsid w:val="003037ED"/>
    <w:rsid w:val="00306D73"/>
    <w:rsid w:val="003132B3"/>
    <w:rsid w:val="003232F5"/>
    <w:rsid w:val="003254E3"/>
    <w:rsid w:val="0032575B"/>
    <w:rsid w:val="00330D1D"/>
    <w:rsid w:val="00330D3D"/>
    <w:rsid w:val="00335A0B"/>
    <w:rsid w:val="00340D0F"/>
    <w:rsid w:val="003515B4"/>
    <w:rsid w:val="00352EF3"/>
    <w:rsid w:val="00357855"/>
    <w:rsid w:val="00364276"/>
    <w:rsid w:val="00366C69"/>
    <w:rsid w:val="00373E47"/>
    <w:rsid w:val="00375EF3"/>
    <w:rsid w:val="003861AC"/>
    <w:rsid w:val="00392AFE"/>
    <w:rsid w:val="003A4D26"/>
    <w:rsid w:val="003C15A5"/>
    <w:rsid w:val="003C6FAB"/>
    <w:rsid w:val="003C7619"/>
    <w:rsid w:val="003D1FD0"/>
    <w:rsid w:val="003D6194"/>
    <w:rsid w:val="003D7426"/>
    <w:rsid w:val="003E0C40"/>
    <w:rsid w:val="003E68B3"/>
    <w:rsid w:val="003F4860"/>
    <w:rsid w:val="003F5C2D"/>
    <w:rsid w:val="00400A68"/>
    <w:rsid w:val="00404357"/>
    <w:rsid w:val="00404CD0"/>
    <w:rsid w:val="00406145"/>
    <w:rsid w:val="0041075B"/>
    <w:rsid w:val="00414281"/>
    <w:rsid w:val="004168A8"/>
    <w:rsid w:val="00423D51"/>
    <w:rsid w:val="00424C0F"/>
    <w:rsid w:val="0042533E"/>
    <w:rsid w:val="00433B44"/>
    <w:rsid w:val="004366F6"/>
    <w:rsid w:val="004373CC"/>
    <w:rsid w:val="004414B3"/>
    <w:rsid w:val="0044296D"/>
    <w:rsid w:val="00445948"/>
    <w:rsid w:val="00445DB7"/>
    <w:rsid w:val="00447E91"/>
    <w:rsid w:val="00451080"/>
    <w:rsid w:val="0045135A"/>
    <w:rsid w:val="0046280B"/>
    <w:rsid w:val="00466264"/>
    <w:rsid w:val="00466CD9"/>
    <w:rsid w:val="0047261F"/>
    <w:rsid w:val="004759E4"/>
    <w:rsid w:val="0048331A"/>
    <w:rsid w:val="00492F26"/>
    <w:rsid w:val="00497A45"/>
    <w:rsid w:val="004A004B"/>
    <w:rsid w:val="004A092E"/>
    <w:rsid w:val="004A2B4F"/>
    <w:rsid w:val="004A3663"/>
    <w:rsid w:val="004C056D"/>
    <w:rsid w:val="004C2259"/>
    <w:rsid w:val="004C7478"/>
    <w:rsid w:val="004D0615"/>
    <w:rsid w:val="004F178A"/>
    <w:rsid w:val="004F266D"/>
    <w:rsid w:val="004F37D4"/>
    <w:rsid w:val="00500F04"/>
    <w:rsid w:val="005036AA"/>
    <w:rsid w:val="0050483B"/>
    <w:rsid w:val="00505085"/>
    <w:rsid w:val="00505300"/>
    <w:rsid w:val="00506AA4"/>
    <w:rsid w:val="0050758A"/>
    <w:rsid w:val="0051124C"/>
    <w:rsid w:val="0051236C"/>
    <w:rsid w:val="00515845"/>
    <w:rsid w:val="00516D37"/>
    <w:rsid w:val="00521A2A"/>
    <w:rsid w:val="0052423D"/>
    <w:rsid w:val="005262F3"/>
    <w:rsid w:val="005265A5"/>
    <w:rsid w:val="00526D02"/>
    <w:rsid w:val="00530611"/>
    <w:rsid w:val="00534F92"/>
    <w:rsid w:val="005356B6"/>
    <w:rsid w:val="00536A57"/>
    <w:rsid w:val="00540530"/>
    <w:rsid w:val="00540DC3"/>
    <w:rsid w:val="00544F96"/>
    <w:rsid w:val="00545DB0"/>
    <w:rsid w:val="00547AB7"/>
    <w:rsid w:val="00557377"/>
    <w:rsid w:val="00564646"/>
    <w:rsid w:val="005672F1"/>
    <w:rsid w:val="00567350"/>
    <w:rsid w:val="00573B6F"/>
    <w:rsid w:val="00576740"/>
    <w:rsid w:val="00576F51"/>
    <w:rsid w:val="00583B9D"/>
    <w:rsid w:val="00590E73"/>
    <w:rsid w:val="005957A8"/>
    <w:rsid w:val="005A4F62"/>
    <w:rsid w:val="005B2666"/>
    <w:rsid w:val="005C1953"/>
    <w:rsid w:val="005C2F9F"/>
    <w:rsid w:val="005D008B"/>
    <w:rsid w:val="005D0893"/>
    <w:rsid w:val="005D64DE"/>
    <w:rsid w:val="005E0AFE"/>
    <w:rsid w:val="005E0C0F"/>
    <w:rsid w:val="005F5478"/>
    <w:rsid w:val="005F7D3E"/>
    <w:rsid w:val="006000BB"/>
    <w:rsid w:val="00603F03"/>
    <w:rsid w:val="00604AE3"/>
    <w:rsid w:val="00604C98"/>
    <w:rsid w:val="00606DFA"/>
    <w:rsid w:val="006100A3"/>
    <w:rsid w:val="00612A90"/>
    <w:rsid w:val="00614E0E"/>
    <w:rsid w:val="006179B1"/>
    <w:rsid w:val="00623E5A"/>
    <w:rsid w:val="00625B1B"/>
    <w:rsid w:val="006264E5"/>
    <w:rsid w:val="00627C76"/>
    <w:rsid w:val="006371BE"/>
    <w:rsid w:val="00645209"/>
    <w:rsid w:val="00647899"/>
    <w:rsid w:val="00651AF0"/>
    <w:rsid w:val="0066013D"/>
    <w:rsid w:val="00670B8D"/>
    <w:rsid w:val="00672499"/>
    <w:rsid w:val="006774EB"/>
    <w:rsid w:val="006814B0"/>
    <w:rsid w:val="00682110"/>
    <w:rsid w:val="006827B6"/>
    <w:rsid w:val="00684385"/>
    <w:rsid w:val="00690581"/>
    <w:rsid w:val="006952C6"/>
    <w:rsid w:val="0069571C"/>
    <w:rsid w:val="006978AF"/>
    <w:rsid w:val="00697AC9"/>
    <w:rsid w:val="006A13CF"/>
    <w:rsid w:val="006A2CC8"/>
    <w:rsid w:val="006A5347"/>
    <w:rsid w:val="006B5240"/>
    <w:rsid w:val="006C0EA5"/>
    <w:rsid w:val="006C1C81"/>
    <w:rsid w:val="006C306B"/>
    <w:rsid w:val="006C5249"/>
    <w:rsid w:val="006C6A49"/>
    <w:rsid w:val="006C6F84"/>
    <w:rsid w:val="006D3711"/>
    <w:rsid w:val="006D5C16"/>
    <w:rsid w:val="006D636F"/>
    <w:rsid w:val="006E7F6D"/>
    <w:rsid w:val="006F4754"/>
    <w:rsid w:val="00701258"/>
    <w:rsid w:val="0070317B"/>
    <w:rsid w:val="0070319B"/>
    <w:rsid w:val="00711103"/>
    <w:rsid w:val="00714379"/>
    <w:rsid w:val="00714513"/>
    <w:rsid w:val="007154DA"/>
    <w:rsid w:val="00715BA9"/>
    <w:rsid w:val="00720C33"/>
    <w:rsid w:val="007222C7"/>
    <w:rsid w:val="007227E9"/>
    <w:rsid w:val="007300B7"/>
    <w:rsid w:val="00730EA9"/>
    <w:rsid w:val="00733214"/>
    <w:rsid w:val="00740A9D"/>
    <w:rsid w:val="00741712"/>
    <w:rsid w:val="00743887"/>
    <w:rsid w:val="00750850"/>
    <w:rsid w:val="00751215"/>
    <w:rsid w:val="00753269"/>
    <w:rsid w:val="007536FE"/>
    <w:rsid w:val="0076328C"/>
    <w:rsid w:val="00766D65"/>
    <w:rsid w:val="00767848"/>
    <w:rsid w:val="0077317B"/>
    <w:rsid w:val="00783804"/>
    <w:rsid w:val="00784301"/>
    <w:rsid w:val="00784BD1"/>
    <w:rsid w:val="00794D28"/>
    <w:rsid w:val="007A134E"/>
    <w:rsid w:val="007A319F"/>
    <w:rsid w:val="007A6478"/>
    <w:rsid w:val="007A66F3"/>
    <w:rsid w:val="007A79EE"/>
    <w:rsid w:val="007B0855"/>
    <w:rsid w:val="007B35FA"/>
    <w:rsid w:val="007C27F3"/>
    <w:rsid w:val="007C68C1"/>
    <w:rsid w:val="007D1D40"/>
    <w:rsid w:val="007D2965"/>
    <w:rsid w:val="007D30F1"/>
    <w:rsid w:val="007D31FF"/>
    <w:rsid w:val="007D4080"/>
    <w:rsid w:val="007D6CE0"/>
    <w:rsid w:val="007E05CE"/>
    <w:rsid w:val="007E2497"/>
    <w:rsid w:val="007E5A4A"/>
    <w:rsid w:val="007E6A68"/>
    <w:rsid w:val="007E7470"/>
    <w:rsid w:val="007F0149"/>
    <w:rsid w:val="007F023E"/>
    <w:rsid w:val="007F1C94"/>
    <w:rsid w:val="00806946"/>
    <w:rsid w:val="00813852"/>
    <w:rsid w:val="0081596C"/>
    <w:rsid w:val="008224D4"/>
    <w:rsid w:val="00823A4F"/>
    <w:rsid w:val="00823C96"/>
    <w:rsid w:val="00826044"/>
    <w:rsid w:val="008327F2"/>
    <w:rsid w:val="00833190"/>
    <w:rsid w:val="00840C6F"/>
    <w:rsid w:val="00847867"/>
    <w:rsid w:val="00855CA7"/>
    <w:rsid w:val="00856860"/>
    <w:rsid w:val="00860EFB"/>
    <w:rsid w:val="00860F4B"/>
    <w:rsid w:val="0086107B"/>
    <w:rsid w:val="00865BB8"/>
    <w:rsid w:val="00870435"/>
    <w:rsid w:val="0087111B"/>
    <w:rsid w:val="00873A7A"/>
    <w:rsid w:val="00881636"/>
    <w:rsid w:val="00894240"/>
    <w:rsid w:val="00896558"/>
    <w:rsid w:val="008A159C"/>
    <w:rsid w:val="008A15C3"/>
    <w:rsid w:val="008B5094"/>
    <w:rsid w:val="008B7C31"/>
    <w:rsid w:val="008C044E"/>
    <w:rsid w:val="008C148C"/>
    <w:rsid w:val="008C575C"/>
    <w:rsid w:val="008C6079"/>
    <w:rsid w:val="008C67CC"/>
    <w:rsid w:val="008D054C"/>
    <w:rsid w:val="008D0B52"/>
    <w:rsid w:val="008D21E1"/>
    <w:rsid w:val="008E27DB"/>
    <w:rsid w:val="008E7843"/>
    <w:rsid w:val="008F26DE"/>
    <w:rsid w:val="008F3AFB"/>
    <w:rsid w:val="008F5EFE"/>
    <w:rsid w:val="008F6739"/>
    <w:rsid w:val="008F7FCB"/>
    <w:rsid w:val="00911986"/>
    <w:rsid w:val="00914909"/>
    <w:rsid w:val="0091579B"/>
    <w:rsid w:val="00915C04"/>
    <w:rsid w:val="00920B36"/>
    <w:rsid w:val="00930D2D"/>
    <w:rsid w:val="009423A1"/>
    <w:rsid w:val="009426BF"/>
    <w:rsid w:val="009458E6"/>
    <w:rsid w:val="00947591"/>
    <w:rsid w:val="00960C6B"/>
    <w:rsid w:val="009610B8"/>
    <w:rsid w:val="00961513"/>
    <w:rsid w:val="0096477D"/>
    <w:rsid w:val="00965D40"/>
    <w:rsid w:val="009702DB"/>
    <w:rsid w:val="00971BC6"/>
    <w:rsid w:val="009720E8"/>
    <w:rsid w:val="00972A58"/>
    <w:rsid w:val="00972B96"/>
    <w:rsid w:val="0097545C"/>
    <w:rsid w:val="009958B3"/>
    <w:rsid w:val="00996F79"/>
    <w:rsid w:val="009A55AB"/>
    <w:rsid w:val="009B2285"/>
    <w:rsid w:val="009B3876"/>
    <w:rsid w:val="009B59D6"/>
    <w:rsid w:val="009B5C0A"/>
    <w:rsid w:val="009B65C4"/>
    <w:rsid w:val="009B6D8D"/>
    <w:rsid w:val="009C2286"/>
    <w:rsid w:val="009C318D"/>
    <w:rsid w:val="009C39A2"/>
    <w:rsid w:val="009C3C75"/>
    <w:rsid w:val="009D2EAF"/>
    <w:rsid w:val="009D6FE6"/>
    <w:rsid w:val="009E26C9"/>
    <w:rsid w:val="009E4BF4"/>
    <w:rsid w:val="00A04224"/>
    <w:rsid w:val="00A11F83"/>
    <w:rsid w:val="00A15F25"/>
    <w:rsid w:val="00A30220"/>
    <w:rsid w:val="00A304C9"/>
    <w:rsid w:val="00A31BDC"/>
    <w:rsid w:val="00A37726"/>
    <w:rsid w:val="00A4088E"/>
    <w:rsid w:val="00A436AF"/>
    <w:rsid w:val="00A4555E"/>
    <w:rsid w:val="00A6044D"/>
    <w:rsid w:val="00A63EE4"/>
    <w:rsid w:val="00A8279F"/>
    <w:rsid w:val="00A865B6"/>
    <w:rsid w:val="00A86848"/>
    <w:rsid w:val="00A871F3"/>
    <w:rsid w:val="00A87B3F"/>
    <w:rsid w:val="00A912A2"/>
    <w:rsid w:val="00A915D7"/>
    <w:rsid w:val="00A95ACE"/>
    <w:rsid w:val="00A96FE7"/>
    <w:rsid w:val="00AA34BD"/>
    <w:rsid w:val="00AB1251"/>
    <w:rsid w:val="00AB1B13"/>
    <w:rsid w:val="00AB2DBA"/>
    <w:rsid w:val="00AC115C"/>
    <w:rsid w:val="00AC6933"/>
    <w:rsid w:val="00AD1310"/>
    <w:rsid w:val="00AE13CB"/>
    <w:rsid w:val="00AE3D3D"/>
    <w:rsid w:val="00AF11E7"/>
    <w:rsid w:val="00AF3A9B"/>
    <w:rsid w:val="00B00EF7"/>
    <w:rsid w:val="00B02C77"/>
    <w:rsid w:val="00B13B97"/>
    <w:rsid w:val="00B149EF"/>
    <w:rsid w:val="00B1520D"/>
    <w:rsid w:val="00B259D9"/>
    <w:rsid w:val="00B261D0"/>
    <w:rsid w:val="00B263A4"/>
    <w:rsid w:val="00B436FA"/>
    <w:rsid w:val="00B455C1"/>
    <w:rsid w:val="00B45E00"/>
    <w:rsid w:val="00B462BD"/>
    <w:rsid w:val="00B4682C"/>
    <w:rsid w:val="00B522E7"/>
    <w:rsid w:val="00B52CF9"/>
    <w:rsid w:val="00B53A66"/>
    <w:rsid w:val="00B6559E"/>
    <w:rsid w:val="00B70477"/>
    <w:rsid w:val="00B716C7"/>
    <w:rsid w:val="00B77ACE"/>
    <w:rsid w:val="00B803E1"/>
    <w:rsid w:val="00B811CD"/>
    <w:rsid w:val="00B85D85"/>
    <w:rsid w:val="00B86FA1"/>
    <w:rsid w:val="00B87EAA"/>
    <w:rsid w:val="00B91291"/>
    <w:rsid w:val="00B92AB9"/>
    <w:rsid w:val="00B93F51"/>
    <w:rsid w:val="00B96D28"/>
    <w:rsid w:val="00BA1FAA"/>
    <w:rsid w:val="00BA47A7"/>
    <w:rsid w:val="00BA48CA"/>
    <w:rsid w:val="00BA55A2"/>
    <w:rsid w:val="00BA566E"/>
    <w:rsid w:val="00BA5F51"/>
    <w:rsid w:val="00BA6201"/>
    <w:rsid w:val="00BB0423"/>
    <w:rsid w:val="00BB19A5"/>
    <w:rsid w:val="00BB2055"/>
    <w:rsid w:val="00BB2A53"/>
    <w:rsid w:val="00BB6BA3"/>
    <w:rsid w:val="00BC32A7"/>
    <w:rsid w:val="00BD0E15"/>
    <w:rsid w:val="00BD2DB9"/>
    <w:rsid w:val="00BD3283"/>
    <w:rsid w:val="00BD4FBD"/>
    <w:rsid w:val="00BD6E1D"/>
    <w:rsid w:val="00BE3F6D"/>
    <w:rsid w:val="00BF53A2"/>
    <w:rsid w:val="00BF5648"/>
    <w:rsid w:val="00C0309A"/>
    <w:rsid w:val="00C17E38"/>
    <w:rsid w:val="00C2478F"/>
    <w:rsid w:val="00C3226C"/>
    <w:rsid w:val="00C325D7"/>
    <w:rsid w:val="00C34EE5"/>
    <w:rsid w:val="00C353C4"/>
    <w:rsid w:val="00C365A4"/>
    <w:rsid w:val="00C41B8D"/>
    <w:rsid w:val="00C4324C"/>
    <w:rsid w:val="00C46FEC"/>
    <w:rsid w:val="00C50340"/>
    <w:rsid w:val="00C604AC"/>
    <w:rsid w:val="00C63F96"/>
    <w:rsid w:val="00C73A22"/>
    <w:rsid w:val="00C74B1E"/>
    <w:rsid w:val="00C834EA"/>
    <w:rsid w:val="00C84083"/>
    <w:rsid w:val="00C864CE"/>
    <w:rsid w:val="00C90130"/>
    <w:rsid w:val="00C91BB7"/>
    <w:rsid w:val="00C93E21"/>
    <w:rsid w:val="00CA4096"/>
    <w:rsid w:val="00CA6A51"/>
    <w:rsid w:val="00CB2712"/>
    <w:rsid w:val="00CB3C40"/>
    <w:rsid w:val="00CB5B66"/>
    <w:rsid w:val="00CB5FC1"/>
    <w:rsid w:val="00CC0053"/>
    <w:rsid w:val="00CC3651"/>
    <w:rsid w:val="00CC3FB0"/>
    <w:rsid w:val="00CC7795"/>
    <w:rsid w:val="00CD0946"/>
    <w:rsid w:val="00CD7360"/>
    <w:rsid w:val="00CE04C6"/>
    <w:rsid w:val="00CF1642"/>
    <w:rsid w:val="00CF7E35"/>
    <w:rsid w:val="00D045EB"/>
    <w:rsid w:val="00D12512"/>
    <w:rsid w:val="00D1549E"/>
    <w:rsid w:val="00D16D68"/>
    <w:rsid w:val="00D17749"/>
    <w:rsid w:val="00D23FF8"/>
    <w:rsid w:val="00D27B2F"/>
    <w:rsid w:val="00D35F10"/>
    <w:rsid w:val="00D360DD"/>
    <w:rsid w:val="00D37075"/>
    <w:rsid w:val="00D43A3E"/>
    <w:rsid w:val="00D464EA"/>
    <w:rsid w:val="00D50B4B"/>
    <w:rsid w:val="00D52B25"/>
    <w:rsid w:val="00D53E52"/>
    <w:rsid w:val="00D56924"/>
    <w:rsid w:val="00D60C29"/>
    <w:rsid w:val="00D61223"/>
    <w:rsid w:val="00D6261D"/>
    <w:rsid w:val="00D62C35"/>
    <w:rsid w:val="00D64D1E"/>
    <w:rsid w:val="00D71BDA"/>
    <w:rsid w:val="00D74EB0"/>
    <w:rsid w:val="00D75721"/>
    <w:rsid w:val="00D802CC"/>
    <w:rsid w:val="00D80EB1"/>
    <w:rsid w:val="00D9305B"/>
    <w:rsid w:val="00D96391"/>
    <w:rsid w:val="00D96793"/>
    <w:rsid w:val="00D967A6"/>
    <w:rsid w:val="00DA032C"/>
    <w:rsid w:val="00DA0C8F"/>
    <w:rsid w:val="00DA3FDE"/>
    <w:rsid w:val="00DA5709"/>
    <w:rsid w:val="00DB021E"/>
    <w:rsid w:val="00DB62F4"/>
    <w:rsid w:val="00DB6B7E"/>
    <w:rsid w:val="00DB7CD5"/>
    <w:rsid w:val="00DC19B4"/>
    <w:rsid w:val="00DD090C"/>
    <w:rsid w:val="00DD4B09"/>
    <w:rsid w:val="00DD7C5D"/>
    <w:rsid w:val="00DE1248"/>
    <w:rsid w:val="00DE2964"/>
    <w:rsid w:val="00DE7954"/>
    <w:rsid w:val="00DE7C6A"/>
    <w:rsid w:val="00DE7EAF"/>
    <w:rsid w:val="00DF00A7"/>
    <w:rsid w:val="00DF106C"/>
    <w:rsid w:val="00DF66E7"/>
    <w:rsid w:val="00E001C8"/>
    <w:rsid w:val="00E03434"/>
    <w:rsid w:val="00E05A6B"/>
    <w:rsid w:val="00E110C3"/>
    <w:rsid w:val="00E14D15"/>
    <w:rsid w:val="00E16EBD"/>
    <w:rsid w:val="00E22D4E"/>
    <w:rsid w:val="00E31CD4"/>
    <w:rsid w:val="00E34F4D"/>
    <w:rsid w:val="00E41BFE"/>
    <w:rsid w:val="00E4335D"/>
    <w:rsid w:val="00E47B83"/>
    <w:rsid w:val="00E53BB1"/>
    <w:rsid w:val="00E55BB5"/>
    <w:rsid w:val="00E56502"/>
    <w:rsid w:val="00E64657"/>
    <w:rsid w:val="00E647D2"/>
    <w:rsid w:val="00E64E7E"/>
    <w:rsid w:val="00E712D7"/>
    <w:rsid w:val="00E733D5"/>
    <w:rsid w:val="00E74C6B"/>
    <w:rsid w:val="00E86C45"/>
    <w:rsid w:val="00E94CB9"/>
    <w:rsid w:val="00E959EE"/>
    <w:rsid w:val="00EC000B"/>
    <w:rsid w:val="00EC31A3"/>
    <w:rsid w:val="00ED0CB6"/>
    <w:rsid w:val="00ED620F"/>
    <w:rsid w:val="00EE0E42"/>
    <w:rsid w:val="00EE15E2"/>
    <w:rsid w:val="00EE26D4"/>
    <w:rsid w:val="00EE7C3F"/>
    <w:rsid w:val="00EE7F1C"/>
    <w:rsid w:val="00EF086D"/>
    <w:rsid w:val="00EF104D"/>
    <w:rsid w:val="00EF75D5"/>
    <w:rsid w:val="00F0296E"/>
    <w:rsid w:val="00F02B48"/>
    <w:rsid w:val="00F10602"/>
    <w:rsid w:val="00F23A87"/>
    <w:rsid w:val="00F306AB"/>
    <w:rsid w:val="00F313C9"/>
    <w:rsid w:val="00F32462"/>
    <w:rsid w:val="00F329CF"/>
    <w:rsid w:val="00F32FD2"/>
    <w:rsid w:val="00F34687"/>
    <w:rsid w:val="00F35662"/>
    <w:rsid w:val="00F44367"/>
    <w:rsid w:val="00F4783C"/>
    <w:rsid w:val="00F50BCF"/>
    <w:rsid w:val="00F536CD"/>
    <w:rsid w:val="00F567EC"/>
    <w:rsid w:val="00F56B13"/>
    <w:rsid w:val="00F578BE"/>
    <w:rsid w:val="00F714E4"/>
    <w:rsid w:val="00F76DB6"/>
    <w:rsid w:val="00F9019B"/>
    <w:rsid w:val="00F962AF"/>
    <w:rsid w:val="00FA64D4"/>
    <w:rsid w:val="00FA7AA4"/>
    <w:rsid w:val="00FB425A"/>
    <w:rsid w:val="00FB4EBE"/>
    <w:rsid w:val="00FB5A46"/>
    <w:rsid w:val="00FC307B"/>
    <w:rsid w:val="00FC6A0C"/>
    <w:rsid w:val="00FD2CEF"/>
    <w:rsid w:val="00FE2FA8"/>
    <w:rsid w:val="00FE6E02"/>
    <w:rsid w:val="00FF5F59"/>
    <w:rsid w:val="00FF64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602"/>
    <w:pPr>
      <w:widowControl w:val="0"/>
      <w:jc w:val="both"/>
    </w:pPr>
  </w:style>
  <w:style w:type="paragraph" w:styleId="1">
    <w:name w:val="heading 1"/>
    <w:basedOn w:val="a"/>
    <w:link w:val="1Char"/>
    <w:uiPriority w:val="9"/>
    <w:qFormat/>
    <w:rsid w:val="001F36F4"/>
    <w:pPr>
      <w:widowControl/>
      <w:jc w:val="left"/>
      <w:outlineLvl w:val="0"/>
    </w:pPr>
    <w:rPr>
      <w:rFonts w:ascii="微软雅黑" w:eastAsia="微软雅黑" w:hAnsi="微软雅黑" w:cs="宋体"/>
      <w:kern w:val="36"/>
      <w:sz w:val="48"/>
      <w:szCs w:val="48"/>
    </w:rPr>
  </w:style>
  <w:style w:type="paragraph" w:styleId="2">
    <w:name w:val="heading 2"/>
    <w:basedOn w:val="a"/>
    <w:link w:val="2Char"/>
    <w:uiPriority w:val="9"/>
    <w:qFormat/>
    <w:rsid w:val="001F36F4"/>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1F36F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F36F4"/>
    <w:rPr>
      <w:rFonts w:ascii="微软雅黑" w:eastAsia="微软雅黑" w:hAnsi="微软雅黑" w:cs="宋体"/>
      <w:kern w:val="36"/>
      <w:sz w:val="48"/>
      <w:szCs w:val="48"/>
    </w:rPr>
  </w:style>
  <w:style w:type="character" w:customStyle="1" w:styleId="2Char">
    <w:name w:val="标题 2 Char"/>
    <w:basedOn w:val="a0"/>
    <w:link w:val="2"/>
    <w:uiPriority w:val="9"/>
    <w:rsid w:val="001F36F4"/>
    <w:rPr>
      <w:rFonts w:ascii="宋体" w:eastAsia="宋体" w:hAnsi="宋体" w:cs="宋体"/>
      <w:b/>
      <w:bCs/>
      <w:kern w:val="0"/>
      <w:sz w:val="36"/>
      <w:szCs w:val="36"/>
    </w:rPr>
  </w:style>
  <w:style w:type="character" w:customStyle="1" w:styleId="3Char">
    <w:name w:val="标题 3 Char"/>
    <w:basedOn w:val="a0"/>
    <w:link w:val="3"/>
    <w:uiPriority w:val="9"/>
    <w:rsid w:val="001F36F4"/>
    <w:rPr>
      <w:rFonts w:ascii="宋体" w:eastAsia="宋体" w:hAnsi="宋体" w:cs="宋体"/>
      <w:b/>
      <w:bCs/>
      <w:kern w:val="0"/>
      <w:sz w:val="27"/>
      <w:szCs w:val="27"/>
    </w:rPr>
  </w:style>
  <w:style w:type="paragraph" w:styleId="a3">
    <w:name w:val="Normal (Web)"/>
    <w:basedOn w:val="a"/>
    <w:uiPriority w:val="99"/>
    <w:semiHidden/>
    <w:unhideWhenUsed/>
    <w:rsid w:val="001F36F4"/>
    <w:pPr>
      <w:widowControl/>
      <w:jc w:val="left"/>
    </w:pPr>
    <w:rPr>
      <w:rFonts w:ascii="微软雅黑" w:eastAsia="微软雅黑" w:hAnsi="微软雅黑" w:cs="宋体"/>
      <w:kern w:val="0"/>
      <w:sz w:val="24"/>
      <w:szCs w:val="24"/>
    </w:rPr>
  </w:style>
  <w:style w:type="paragraph" w:styleId="a4">
    <w:name w:val="Balloon Text"/>
    <w:basedOn w:val="a"/>
    <w:link w:val="Char"/>
    <w:uiPriority w:val="99"/>
    <w:semiHidden/>
    <w:unhideWhenUsed/>
    <w:rsid w:val="001F36F4"/>
    <w:rPr>
      <w:sz w:val="18"/>
      <w:szCs w:val="18"/>
    </w:rPr>
  </w:style>
  <w:style w:type="character" w:customStyle="1" w:styleId="Char">
    <w:name w:val="批注框文本 Char"/>
    <w:basedOn w:val="a0"/>
    <w:link w:val="a4"/>
    <w:uiPriority w:val="99"/>
    <w:semiHidden/>
    <w:rsid w:val="001F36F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763</Words>
  <Characters>4355</Characters>
  <Application>Microsoft Office Word</Application>
  <DocSecurity>0</DocSecurity>
  <Lines>36</Lines>
  <Paragraphs>10</Paragraphs>
  <ScaleCrop>false</ScaleCrop>
  <Company/>
  <LinksUpToDate>false</LinksUpToDate>
  <CharactersWithSpaces>5108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刘茹</dc:creator>
  <cp:keywords/>
  <dc:description/>
  <cp:lastModifiedBy>刘茹</cp:lastModifiedBy>
  <cp:revision>2</cp:revision>
  <dcterms:created xsi:type="dcterms:W3CDTF">2018-11-07T09:25:00Z</dcterms:created>
  <dcterms:modified xsi:type="dcterms:W3CDTF">2018-11-07T09:26:00Z</dcterms:modified>
</cp:coreProperties>
</file>