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385" w:rsidRDefault="00C33385" w:rsidP="00C33385">
      <w:pPr>
        <w:adjustRightInd w:val="0"/>
        <w:snapToGrid w:val="0"/>
        <w:spacing w:line="360" w:lineRule="auto"/>
        <w:jc w:val="center"/>
        <w:rPr>
          <w:rFonts w:ascii="Times New Roman" w:eastAsia="黑体" w:hAnsi="Times New Roman"/>
          <w:sz w:val="44"/>
          <w:szCs w:val="44"/>
        </w:rPr>
      </w:pPr>
      <w:r w:rsidRPr="00C33385">
        <w:rPr>
          <w:rFonts w:ascii="Times New Roman" w:eastAsia="黑体" w:hAnsi="Times New Roman" w:hint="eastAsia"/>
          <w:sz w:val="44"/>
          <w:szCs w:val="44"/>
        </w:rPr>
        <w:t>推进矿地融合，支撑自然资源</w:t>
      </w:r>
      <w:r w:rsidR="00F11803">
        <w:rPr>
          <w:rFonts w:ascii="Times New Roman" w:eastAsia="黑体" w:hAnsi="Times New Roman" w:hint="eastAsia"/>
          <w:sz w:val="44"/>
          <w:szCs w:val="44"/>
        </w:rPr>
        <w:t>统一</w:t>
      </w:r>
      <w:r w:rsidRPr="00C33385">
        <w:rPr>
          <w:rFonts w:ascii="Times New Roman" w:eastAsia="黑体" w:hAnsi="Times New Roman" w:hint="eastAsia"/>
          <w:sz w:val="44"/>
          <w:szCs w:val="44"/>
        </w:rPr>
        <w:t>管理</w:t>
      </w:r>
    </w:p>
    <w:p w:rsidR="0038073F" w:rsidRDefault="00615AE7" w:rsidP="00302BC8">
      <w:pPr>
        <w:spacing w:line="560" w:lineRule="exact"/>
        <w:ind w:firstLineChars="200" w:firstLine="480"/>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矿地融合是新形势下江苏省自然资源领域的一项重要探索创新。</w:t>
      </w:r>
      <w:r>
        <w:rPr>
          <w:rFonts w:ascii="Times New Roman" w:eastAsia="仿宋_GB2312" w:hAnsi="Times New Roman" w:cs="Times New Roman" w:hint="eastAsia"/>
          <w:sz w:val="24"/>
          <w:szCs w:val="24"/>
        </w:rPr>
        <w:t>2017</w:t>
      </w:r>
      <w:r>
        <w:rPr>
          <w:rFonts w:ascii="Times New Roman" w:eastAsia="仿宋_GB2312" w:hAnsi="Times New Roman" w:cs="Times New Roman" w:hint="eastAsia"/>
          <w:sz w:val="24"/>
          <w:szCs w:val="24"/>
        </w:rPr>
        <w:t>年，省厅在全国率先出台了《关于创新矿地融合</w:t>
      </w:r>
      <w:r w:rsidR="00296653">
        <w:rPr>
          <w:rFonts w:ascii="Times New Roman" w:eastAsia="仿宋_GB2312" w:hAnsi="Times New Roman" w:cs="Times New Roman" w:hint="eastAsia"/>
          <w:sz w:val="24"/>
          <w:szCs w:val="24"/>
        </w:rPr>
        <w:t>工</w:t>
      </w:r>
      <w:r>
        <w:rPr>
          <w:rFonts w:ascii="Times New Roman" w:eastAsia="仿宋_GB2312" w:hAnsi="Times New Roman" w:cs="Times New Roman" w:hint="eastAsia"/>
          <w:sz w:val="24"/>
          <w:szCs w:val="24"/>
        </w:rPr>
        <w:t>作的意见》，首次界定了矿地融合的工作内容，提出了当今和今后一段时期创新矿地融合的工作目标、重点任务、融合路径以及保障措施。</w:t>
      </w:r>
    </w:p>
    <w:p w:rsidR="0038073F" w:rsidRDefault="0079361A" w:rsidP="00302BC8">
      <w:pPr>
        <w:spacing w:line="560" w:lineRule="exact"/>
        <w:ind w:firstLineChars="200" w:firstLine="482"/>
        <w:rPr>
          <w:rFonts w:ascii="Times New Roman" w:eastAsia="仿宋_GB2312" w:hAnsi="Times New Roman" w:cs="Times New Roman"/>
          <w:b/>
          <w:sz w:val="24"/>
          <w:szCs w:val="24"/>
        </w:rPr>
      </w:pPr>
      <w:r w:rsidRPr="0079361A">
        <w:rPr>
          <w:rFonts w:ascii="Times New Roman" w:eastAsia="仿宋_GB2312" w:hAnsi="Times New Roman" w:cs="Times New Roman" w:hint="eastAsia"/>
          <w:b/>
          <w:sz w:val="24"/>
          <w:szCs w:val="24"/>
        </w:rPr>
        <w:t>一、富硒土地开发利用</w:t>
      </w:r>
    </w:p>
    <w:p w:rsidR="0038073F" w:rsidRDefault="0038073F" w:rsidP="00302BC8">
      <w:pPr>
        <w:spacing w:line="560" w:lineRule="exact"/>
        <w:ind w:firstLineChars="200" w:firstLine="480"/>
        <w:rPr>
          <w:rFonts w:ascii="Times New Roman" w:eastAsia="仿宋_GB2312" w:hAnsi="Times New Roman" w:cs="Times New Roman"/>
          <w:sz w:val="24"/>
          <w:szCs w:val="24"/>
        </w:rPr>
      </w:pPr>
      <w:r w:rsidRPr="00B8012B">
        <w:rPr>
          <w:rFonts w:ascii="Times New Roman" w:eastAsia="仿宋_GB2312" w:hAnsi="Times New Roman" w:cs="Times New Roman"/>
          <w:sz w:val="24"/>
          <w:szCs w:val="24"/>
        </w:rPr>
        <w:t>天然富硒土地资源就一种特色优质土地资源，是发展富硒农业、富硒产业的基础。宜兴市太华镇富硒土地详查与开发利用示范项目，立足地方富硒产业发展的实际需求，全面开展富硒土地详查与开发利用示范，以发挥太华镇天然富硒土地资源优势，合理开发利用特色土地资源，推动乡村土地科技创新和经济融合发展，服务乡村振兴战略，为全省探索富硒等特色优质土地资源高质量开发和系统保护提供样板。</w:t>
      </w:r>
    </w:p>
    <w:p w:rsidR="008401BC" w:rsidRDefault="008401BC" w:rsidP="00302BC8">
      <w:pPr>
        <w:spacing w:line="560" w:lineRule="exact"/>
        <w:ind w:firstLineChars="200" w:firstLine="480"/>
        <w:rPr>
          <w:rFonts w:ascii="Times New Roman" w:eastAsia="仿宋_GB2312" w:hAnsi="Times New Roman" w:cs="Times New Roman"/>
          <w:sz w:val="24"/>
          <w:szCs w:val="24"/>
        </w:rPr>
      </w:pPr>
      <w:r w:rsidRPr="0079361A">
        <w:rPr>
          <w:rFonts w:ascii="Times New Roman" w:eastAsia="仿宋_GB2312" w:hAnsi="Times New Roman" w:cs="Times New Roman"/>
          <w:sz w:val="24"/>
          <w:szCs w:val="24"/>
        </w:rPr>
        <w:t>宜兴市</w:t>
      </w:r>
      <w:r w:rsidRPr="0079361A">
        <w:rPr>
          <w:rFonts w:ascii="Times New Roman" w:eastAsia="仿宋_GB2312" w:hAnsi="Times New Roman" w:cs="Times New Roman"/>
          <w:sz w:val="24"/>
          <w:szCs w:val="24"/>
        </w:rPr>
        <w:t>44%</w:t>
      </w:r>
      <w:r w:rsidRPr="0079361A">
        <w:rPr>
          <w:rFonts w:ascii="Times New Roman" w:eastAsia="仿宋_GB2312" w:hAnsi="Times New Roman" w:cs="Times New Roman"/>
          <w:sz w:val="24"/>
          <w:szCs w:val="24"/>
        </w:rPr>
        <w:t>的农用地土壤</w:t>
      </w:r>
      <w:r w:rsidRPr="0079361A">
        <w:rPr>
          <w:rFonts w:ascii="Times New Roman" w:eastAsia="仿宋_GB2312" w:hAnsi="Times New Roman" w:cs="Times New Roman"/>
          <w:sz w:val="24"/>
          <w:szCs w:val="24"/>
        </w:rPr>
        <w:t>Se</w:t>
      </w:r>
      <w:r w:rsidRPr="0079361A">
        <w:rPr>
          <w:rFonts w:ascii="Times New Roman" w:eastAsia="仿宋_GB2312" w:hAnsi="Times New Roman" w:cs="Times New Roman"/>
          <w:sz w:val="24"/>
          <w:szCs w:val="24"/>
        </w:rPr>
        <w:t>含量介于</w:t>
      </w:r>
      <w:r w:rsidRPr="0079361A">
        <w:rPr>
          <w:rFonts w:ascii="Times New Roman" w:eastAsia="仿宋_GB2312" w:hAnsi="Times New Roman" w:cs="Times New Roman"/>
          <w:sz w:val="24"/>
          <w:szCs w:val="24"/>
        </w:rPr>
        <w:t>0.4~3.0 mg/kg</w:t>
      </w:r>
      <w:r w:rsidRPr="0079361A">
        <w:rPr>
          <w:rFonts w:ascii="Times New Roman" w:eastAsia="仿宋_GB2312" w:hAnsi="Times New Roman" w:cs="Times New Roman"/>
          <w:sz w:val="24"/>
          <w:szCs w:val="24"/>
        </w:rPr>
        <w:t>，属于富硒土壤。全市拥有</w:t>
      </w:r>
      <w:r w:rsidRPr="0079361A">
        <w:rPr>
          <w:rFonts w:ascii="Times New Roman" w:eastAsia="仿宋_GB2312" w:hAnsi="Times New Roman" w:cs="Times New Roman"/>
          <w:sz w:val="24"/>
          <w:szCs w:val="24"/>
        </w:rPr>
        <w:t>20000</w:t>
      </w:r>
      <w:r w:rsidRPr="0079361A">
        <w:rPr>
          <w:rFonts w:ascii="Times New Roman" w:eastAsia="仿宋_GB2312" w:hAnsi="Times New Roman" w:cs="Times New Roman"/>
          <w:sz w:val="24"/>
          <w:szCs w:val="24"/>
        </w:rPr>
        <w:t>公顷以上的天然富硒土壤，主要分布于南部的太华镇、芳桥镇、张渚镇等地区。太华镇</w:t>
      </w:r>
      <w:r w:rsidRPr="0079361A">
        <w:rPr>
          <w:rFonts w:ascii="Times New Roman" w:eastAsia="仿宋_GB2312" w:hAnsi="Times New Roman" w:cs="Times New Roman"/>
          <w:sz w:val="24"/>
          <w:szCs w:val="24"/>
        </w:rPr>
        <w:t>98.83%</w:t>
      </w:r>
      <w:r w:rsidRPr="0079361A">
        <w:rPr>
          <w:rFonts w:ascii="Times New Roman" w:eastAsia="仿宋_GB2312" w:hAnsi="Times New Roman" w:cs="Times New Roman"/>
          <w:sz w:val="24"/>
          <w:szCs w:val="24"/>
        </w:rPr>
        <w:t>的农用地富硒，表层土壤中</w:t>
      </w:r>
      <w:r w:rsidRPr="0079361A">
        <w:rPr>
          <w:rFonts w:ascii="Times New Roman" w:eastAsia="仿宋_GB2312" w:hAnsi="Times New Roman" w:cs="Times New Roman"/>
          <w:sz w:val="24"/>
          <w:szCs w:val="24"/>
        </w:rPr>
        <w:t>Se</w:t>
      </w:r>
      <w:r w:rsidRPr="0079361A">
        <w:rPr>
          <w:rFonts w:ascii="Times New Roman" w:eastAsia="仿宋_GB2312" w:hAnsi="Times New Roman" w:cs="Times New Roman"/>
          <w:sz w:val="24"/>
          <w:szCs w:val="24"/>
        </w:rPr>
        <w:t>平均含量为</w:t>
      </w:r>
      <w:r w:rsidRPr="0079361A">
        <w:rPr>
          <w:rFonts w:ascii="Times New Roman" w:eastAsia="仿宋_GB2312" w:hAnsi="Times New Roman" w:cs="Times New Roman"/>
          <w:sz w:val="24"/>
          <w:szCs w:val="24"/>
        </w:rPr>
        <w:t>1.07mg/kg</w:t>
      </w:r>
      <w:r w:rsidRPr="0079361A">
        <w:rPr>
          <w:rFonts w:ascii="Times New Roman" w:eastAsia="仿宋_GB2312" w:hAnsi="Times New Roman" w:cs="Times New Roman"/>
          <w:sz w:val="24"/>
          <w:szCs w:val="24"/>
        </w:rPr>
        <w:t>，远大于江苏省表层土壤背景值（</w:t>
      </w:r>
      <w:r w:rsidRPr="0079361A">
        <w:rPr>
          <w:rFonts w:ascii="Times New Roman" w:eastAsia="仿宋_GB2312" w:hAnsi="Times New Roman" w:cs="Times New Roman"/>
          <w:sz w:val="24"/>
          <w:szCs w:val="24"/>
        </w:rPr>
        <w:t>0.21 mg/kg</w:t>
      </w:r>
      <w:r w:rsidRPr="0079361A">
        <w:rPr>
          <w:rFonts w:ascii="Times New Roman" w:eastAsia="仿宋_GB2312" w:hAnsi="Times New Roman" w:cs="Times New Roman"/>
          <w:sz w:val="24"/>
          <w:szCs w:val="24"/>
        </w:rPr>
        <w:t>）和全国</w:t>
      </w:r>
      <w:r w:rsidRPr="0079361A">
        <w:rPr>
          <w:rFonts w:ascii="Times New Roman" w:eastAsia="仿宋_GB2312" w:hAnsi="Times New Roman" w:cs="Times New Roman"/>
          <w:sz w:val="24"/>
          <w:szCs w:val="24"/>
        </w:rPr>
        <w:t>A</w:t>
      </w:r>
      <w:r w:rsidRPr="0079361A">
        <w:rPr>
          <w:rFonts w:ascii="Times New Roman" w:eastAsia="仿宋_GB2312" w:hAnsi="Times New Roman" w:cs="Times New Roman"/>
          <w:sz w:val="24"/>
          <w:szCs w:val="24"/>
        </w:rPr>
        <w:t>层土壤背景值（</w:t>
      </w:r>
      <w:r w:rsidRPr="0079361A">
        <w:rPr>
          <w:rFonts w:ascii="Times New Roman" w:eastAsia="仿宋_GB2312" w:hAnsi="Times New Roman" w:cs="Times New Roman"/>
          <w:sz w:val="24"/>
          <w:szCs w:val="24"/>
        </w:rPr>
        <w:t>0.29 mg/kg</w:t>
      </w:r>
      <w:r w:rsidRPr="0079361A">
        <w:rPr>
          <w:rFonts w:ascii="Times New Roman" w:eastAsia="仿宋_GB2312" w:hAnsi="Times New Roman" w:cs="Times New Roman"/>
          <w:sz w:val="24"/>
          <w:szCs w:val="24"/>
        </w:rPr>
        <w:t>），且土壤环境质量现状整体较好，连片集中，适合开发。</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E10662" w:rsidTr="00E10662">
        <w:tc>
          <w:tcPr>
            <w:tcW w:w="4643" w:type="dxa"/>
          </w:tcPr>
          <w:p w:rsidR="00E10662" w:rsidRDefault="00E10662" w:rsidP="00E10662">
            <w:pPr>
              <w:spacing w:line="360" w:lineRule="auto"/>
              <w:jc w:val="center"/>
              <w:rPr>
                <w:rFonts w:ascii="Times New Roman" w:hAnsi="Times New Roman" w:cs="Times New Roman"/>
                <w:sz w:val="28"/>
                <w:szCs w:val="28"/>
              </w:rPr>
            </w:pPr>
            <w:r w:rsidRPr="000B6A6B">
              <w:rPr>
                <w:rFonts w:ascii="Times New Roman" w:hAnsi="Times New Roman" w:cs="Times New Roman"/>
                <w:noProof/>
                <w:sz w:val="28"/>
                <w:szCs w:val="28"/>
              </w:rPr>
              <w:drawing>
                <wp:inline distT="0" distB="0" distL="0" distR="0" wp14:anchorId="2F31A4BA" wp14:editId="1E894612">
                  <wp:extent cx="2658140" cy="2907926"/>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671539" cy="2922584"/>
                          </a:xfrm>
                          <a:prstGeom prst="rect">
                            <a:avLst/>
                          </a:prstGeom>
                          <a:noFill/>
                          <a:ln>
                            <a:noFill/>
                          </a:ln>
                        </pic:spPr>
                      </pic:pic>
                    </a:graphicData>
                  </a:graphic>
                </wp:inline>
              </w:drawing>
            </w:r>
          </w:p>
        </w:tc>
        <w:tc>
          <w:tcPr>
            <w:tcW w:w="4643" w:type="dxa"/>
          </w:tcPr>
          <w:p w:rsidR="00E10662" w:rsidRDefault="00E10662" w:rsidP="00E10662">
            <w:pPr>
              <w:spacing w:line="360" w:lineRule="auto"/>
              <w:jc w:val="left"/>
              <w:rPr>
                <w:rFonts w:ascii="Times New Roman" w:hAnsi="Times New Roman" w:cs="Times New Roman"/>
                <w:sz w:val="28"/>
                <w:szCs w:val="28"/>
              </w:rPr>
            </w:pPr>
            <w:r w:rsidRPr="000B6A6B">
              <w:rPr>
                <w:rFonts w:ascii="Times New Roman" w:eastAsia="仿宋" w:hAnsi="Times New Roman" w:cs="Times New Roman"/>
                <w:noProof/>
                <w:sz w:val="28"/>
                <w:szCs w:val="28"/>
              </w:rPr>
              <w:drawing>
                <wp:inline distT="0" distB="0" distL="0" distR="0" wp14:anchorId="1351D37E" wp14:editId="452B5008">
                  <wp:extent cx="2647507" cy="2944276"/>
                  <wp:effectExtent l="0" t="0" r="0" b="0"/>
                  <wp:docPr id="6" name="图片 1" descr="C:\Users\lenovo\Desktop\宜兴报告201706\出图\太华镇Se评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lenovo\Desktop\宜兴报告201706\出图\太华镇Se评价.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a:xfrm>
                            <a:off x="0" y="0"/>
                            <a:ext cx="2662414" cy="2960854"/>
                          </a:xfrm>
                          <a:prstGeom prst="rect">
                            <a:avLst/>
                          </a:prstGeom>
                          <a:noFill/>
                          <a:ln w="9525">
                            <a:noFill/>
                            <a:miter lim="800000"/>
                            <a:headEnd/>
                            <a:tailEnd/>
                          </a:ln>
                        </pic:spPr>
                      </pic:pic>
                    </a:graphicData>
                  </a:graphic>
                </wp:inline>
              </w:drawing>
            </w:r>
          </w:p>
        </w:tc>
      </w:tr>
      <w:tr w:rsidR="00E10662" w:rsidTr="00E10662">
        <w:tc>
          <w:tcPr>
            <w:tcW w:w="4643" w:type="dxa"/>
          </w:tcPr>
          <w:p w:rsidR="00E10662" w:rsidRPr="00E10662" w:rsidRDefault="00E10662" w:rsidP="00E10662">
            <w:pPr>
              <w:spacing w:line="360" w:lineRule="auto"/>
              <w:jc w:val="center"/>
              <w:rPr>
                <w:rFonts w:ascii="Times New Roman" w:hAnsi="Times New Roman" w:cs="Times New Roman"/>
                <w:bCs/>
                <w:sz w:val="18"/>
                <w:szCs w:val="18"/>
              </w:rPr>
            </w:pPr>
            <w:r w:rsidRPr="000B6A6B">
              <w:rPr>
                <w:rFonts w:ascii="Times New Roman" w:hAnsi="Times New Roman" w:cs="Times New Roman"/>
                <w:b/>
                <w:bCs/>
                <w:sz w:val="24"/>
                <w:szCs w:val="18"/>
              </w:rPr>
              <w:t>宜兴市土壤硒丰缺分级图</w:t>
            </w:r>
          </w:p>
        </w:tc>
        <w:tc>
          <w:tcPr>
            <w:tcW w:w="4643" w:type="dxa"/>
          </w:tcPr>
          <w:p w:rsidR="00E10662" w:rsidRPr="00E10662" w:rsidRDefault="00E10662" w:rsidP="00E10662">
            <w:pPr>
              <w:spacing w:line="360" w:lineRule="auto"/>
              <w:jc w:val="center"/>
              <w:rPr>
                <w:rFonts w:ascii="Times New Roman" w:hAnsi="Times New Roman" w:cs="Times New Roman"/>
                <w:b/>
                <w:bCs/>
                <w:sz w:val="24"/>
                <w:szCs w:val="24"/>
              </w:rPr>
            </w:pPr>
            <w:r w:rsidRPr="000B6A6B">
              <w:rPr>
                <w:rFonts w:ascii="Times New Roman" w:hAnsi="Times New Roman" w:cs="Times New Roman"/>
                <w:b/>
                <w:bCs/>
                <w:sz w:val="24"/>
                <w:szCs w:val="24"/>
              </w:rPr>
              <w:t>太华镇土壤硒丰缺分级图</w:t>
            </w:r>
          </w:p>
        </w:tc>
      </w:tr>
    </w:tbl>
    <w:p w:rsidR="008401BC" w:rsidRPr="0079361A" w:rsidRDefault="008D4C2F" w:rsidP="0079361A">
      <w:pPr>
        <w:spacing w:line="360" w:lineRule="auto"/>
        <w:ind w:firstLineChars="200" w:firstLine="480"/>
        <w:outlineLvl w:val="0"/>
        <w:rPr>
          <w:rFonts w:ascii="Times New Roman" w:eastAsia="仿宋_GB2312" w:hAnsi="Times New Roman" w:cs="Times New Roman"/>
          <w:sz w:val="24"/>
          <w:szCs w:val="24"/>
        </w:rPr>
      </w:pPr>
      <w:r w:rsidRPr="0079361A">
        <w:rPr>
          <w:rFonts w:ascii="Times New Roman" w:eastAsia="仿宋_GB2312" w:hAnsi="Times New Roman" w:cs="Times New Roman"/>
          <w:sz w:val="24"/>
          <w:szCs w:val="24"/>
        </w:rPr>
        <w:lastRenderedPageBreak/>
        <w:t xml:space="preserve">2. </w:t>
      </w:r>
      <w:r w:rsidR="008401BC" w:rsidRPr="0079361A">
        <w:rPr>
          <w:rFonts w:ascii="Times New Roman" w:eastAsia="仿宋_GB2312" w:hAnsi="Times New Roman" w:cs="Times New Roman"/>
          <w:sz w:val="24"/>
          <w:szCs w:val="24"/>
        </w:rPr>
        <w:t>富硒农产品</w:t>
      </w:r>
    </w:p>
    <w:p w:rsidR="00E10662" w:rsidRDefault="008401BC" w:rsidP="00472205">
      <w:pPr>
        <w:spacing w:line="360" w:lineRule="auto"/>
        <w:ind w:firstLineChars="200" w:firstLine="480"/>
        <w:jc w:val="left"/>
        <w:outlineLvl w:val="0"/>
        <w:rPr>
          <w:rFonts w:ascii="Times New Roman" w:eastAsia="仿宋_GB2312" w:hAnsi="Times New Roman" w:cs="Times New Roman"/>
          <w:sz w:val="24"/>
          <w:szCs w:val="24"/>
        </w:rPr>
      </w:pPr>
      <w:r w:rsidRPr="0079361A">
        <w:rPr>
          <w:rFonts w:ascii="Times New Roman" w:eastAsia="仿宋_GB2312" w:hAnsi="Times New Roman" w:cs="Times New Roman"/>
          <w:sz w:val="24"/>
          <w:szCs w:val="24"/>
        </w:rPr>
        <w:t>富硒大米：富硒水稻生产示范基地出产的大米硒含量范围为</w:t>
      </w:r>
      <w:r w:rsidRPr="0079361A">
        <w:rPr>
          <w:rFonts w:ascii="Times New Roman" w:eastAsia="仿宋_GB2312" w:hAnsi="Times New Roman" w:cs="Times New Roman"/>
          <w:sz w:val="24"/>
          <w:szCs w:val="24"/>
        </w:rPr>
        <w:t>0.018-0.58mg/kg</w:t>
      </w:r>
      <w:r w:rsidRPr="0079361A">
        <w:rPr>
          <w:rFonts w:ascii="Times New Roman" w:eastAsia="仿宋_GB2312" w:hAnsi="Times New Roman" w:cs="Times New Roman"/>
          <w:sz w:val="24"/>
          <w:szCs w:val="24"/>
        </w:rPr>
        <w:t>，均值为</w:t>
      </w:r>
      <w:r w:rsidRPr="0079361A">
        <w:rPr>
          <w:rFonts w:ascii="Times New Roman" w:eastAsia="仿宋_GB2312" w:hAnsi="Times New Roman" w:cs="Times New Roman"/>
          <w:sz w:val="24"/>
          <w:szCs w:val="24"/>
        </w:rPr>
        <w:t>0.086 mg/kg</w:t>
      </w:r>
      <w:r w:rsidRPr="0079361A">
        <w:rPr>
          <w:rFonts w:ascii="Times New Roman" w:eastAsia="仿宋_GB2312" w:hAnsi="Times New Roman" w:cs="Times New Roman"/>
          <w:sz w:val="24"/>
          <w:szCs w:val="24"/>
        </w:rPr>
        <w:t>，为富硒大米国标的</w:t>
      </w:r>
      <w:r w:rsidRPr="0079361A">
        <w:rPr>
          <w:rFonts w:ascii="Times New Roman" w:eastAsia="仿宋_GB2312" w:hAnsi="Times New Roman" w:cs="Times New Roman"/>
          <w:sz w:val="24"/>
          <w:szCs w:val="24"/>
        </w:rPr>
        <w:t>2</w:t>
      </w:r>
      <w:r w:rsidRPr="0079361A">
        <w:rPr>
          <w:rFonts w:ascii="Times New Roman" w:eastAsia="仿宋_GB2312" w:hAnsi="Times New Roman" w:cs="Times New Roman"/>
          <w:sz w:val="24"/>
          <w:szCs w:val="24"/>
        </w:rPr>
        <w:t>倍有余，具有较高的营养价值，且表面圆润，晶莹剔透，口感柔软滑润，食味品质极佳。目前</w:t>
      </w:r>
      <w:r w:rsidRPr="0079361A">
        <w:rPr>
          <w:rFonts w:ascii="Times New Roman" w:eastAsia="仿宋_GB2312" w:hAnsi="Times New Roman" w:cs="Times New Roman"/>
          <w:sz w:val="24"/>
          <w:szCs w:val="24"/>
        </w:rPr>
        <w:t>150</w:t>
      </w:r>
      <w:r w:rsidRPr="0079361A">
        <w:rPr>
          <w:rFonts w:ascii="Times New Roman" w:eastAsia="仿宋_GB2312" w:hAnsi="Times New Roman" w:cs="Times New Roman"/>
          <w:sz w:val="24"/>
          <w:szCs w:val="24"/>
        </w:rPr>
        <w:t>亩富硒水稻示范区，平均亩产</w:t>
      </w:r>
      <w:r w:rsidRPr="0079361A">
        <w:rPr>
          <w:rFonts w:ascii="Times New Roman" w:eastAsia="仿宋_GB2312" w:hAnsi="Times New Roman" w:cs="Times New Roman"/>
          <w:sz w:val="24"/>
          <w:szCs w:val="24"/>
        </w:rPr>
        <w:t>800</w:t>
      </w:r>
      <w:r w:rsidRPr="0079361A">
        <w:rPr>
          <w:rFonts w:ascii="Times New Roman" w:eastAsia="仿宋_GB2312" w:hAnsi="Times New Roman" w:cs="Times New Roman"/>
          <w:sz w:val="24"/>
          <w:szCs w:val="24"/>
        </w:rPr>
        <w:t>斤，水稻总产为</w:t>
      </w:r>
      <w:r w:rsidRPr="0079361A">
        <w:rPr>
          <w:rFonts w:ascii="Times New Roman" w:eastAsia="仿宋_GB2312" w:hAnsi="Times New Roman" w:cs="Times New Roman"/>
          <w:sz w:val="24"/>
          <w:szCs w:val="24"/>
        </w:rPr>
        <w:t>12</w:t>
      </w:r>
      <w:r w:rsidRPr="0079361A">
        <w:rPr>
          <w:rFonts w:ascii="Times New Roman" w:eastAsia="仿宋_GB2312" w:hAnsi="Times New Roman" w:cs="Times New Roman"/>
          <w:sz w:val="24"/>
          <w:szCs w:val="24"/>
        </w:rPr>
        <w:t>万斤，按稻谷出产精米率</w:t>
      </w:r>
      <w:r w:rsidRPr="0079361A">
        <w:rPr>
          <w:rFonts w:ascii="Times New Roman" w:eastAsia="仿宋_GB2312" w:hAnsi="Times New Roman" w:cs="Times New Roman"/>
          <w:sz w:val="24"/>
          <w:szCs w:val="24"/>
        </w:rPr>
        <w:t>60.8%</w:t>
      </w:r>
      <w:r w:rsidRPr="0079361A">
        <w:rPr>
          <w:rFonts w:ascii="Times New Roman" w:eastAsia="仿宋_GB2312" w:hAnsi="Times New Roman" w:cs="Times New Roman"/>
          <w:sz w:val="24"/>
          <w:szCs w:val="24"/>
        </w:rPr>
        <w:t>及富硒稻米平均售价</w:t>
      </w:r>
      <w:r w:rsidRPr="0079361A">
        <w:rPr>
          <w:rFonts w:ascii="Times New Roman" w:eastAsia="仿宋_GB2312" w:hAnsi="Times New Roman" w:cs="Times New Roman"/>
          <w:sz w:val="24"/>
          <w:szCs w:val="24"/>
        </w:rPr>
        <w:t>25</w:t>
      </w:r>
      <w:r w:rsidRPr="0079361A">
        <w:rPr>
          <w:rFonts w:ascii="Times New Roman" w:eastAsia="仿宋_GB2312" w:hAnsi="Times New Roman" w:cs="Times New Roman"/>
          <w:sz w:val="24"/>
          <w:szCs w:val="24"/>
        </w:rPr>
        <w:t>元</w:t>
      </w:r>
      <w:r w:rsidRPr="0079361A">
        <w:rPr>
          <w:rFonts w:ascii="Times New Roman" w:eastAsia="仿宋_GB2312" w:hAnsi="Times New Roman" w:cs="Times New Roman"/>
          <w:sz w:val="24"/>
          <w:szCs w:val="24"/>
        </w:rPr>
        <w:t>/</w:t>
      </w:r>
      <w:r w:rsidRPr="0079361A">
        <w:rPr>
          <w:rFonts w:ascii="Times New Roman" w:eastAsia="仿宋_GB2312" w:hAnsi="Times New Roman" w:cs="Times New Roman"/>
          <w:sz w:val="24"/>
          <w:szCs w:val="24"/>
        </w:rPr>
        <w:t>斤计算，该示范区共加工生产富硒大米</w:t>
      </w:r>
      <w:r w:rsidRPr="0079361A">
        <w:rPr>
          <w:rFonts w:ascii="Times New Roman" w:eastAsia="仿宋_GB2312" w:hAnsi="Times New Roman" w:cs="Times New Roman"/>
          <w:sz w:val="24"/>
          <w:szCs w:val="24"/>
        </w:rPr>
        <w:t>7.296</w:t>
      </w:r>
      <w:r w:rsidRPr="0079361A">
        <w:rPr>
          <w:rFonts w:ascii="Times New Roman" w:eastAsia="仿宋_GB2312" w:hAnsi="Times New Roman" w:cs="Times New Roman"/>
          <w:sz w:val="24"/>
          <w:szCs w:val="24"/>
        </w:rPr>
        <w:t>万斤，实现产值</w:t>
      </w:r>
      <w:r w:rsidRPr="0079361A">
        <w:rPr>
          <w:rFonts w:ascii="Times New Roman" w:eastAsia="仿宋_GB2312" w:hAnsi="Times New Roman" w:cs="Times New Roman"/>
          <w:sz w:val="24"/>
          <w:szCs w:val="24"/>
        </w:rPr>
        <w:t>182.4</w:t>
      </w:r>
      <w:r w:rsidRPr="0079361A">
        <w:rPr>
          <w:rFonts w:ascii="Times New Roman" w:eastAsia="仿宋_GB2312" w:hAnsi="Times New Roman" w:cs="Times New Roman"/>
          <w:sz w:val="24"/>
          <w:szCs w:val="24"/>
        </w:rPr>
        <w:t>万元，增加产值</w:t>
      </w:r>
      <w:r w:rsidRPr="0079361A">
        <w:rPr>
          <w:rFonts w:ascii="Times New Roman" w:eastAsia="仿宋_GB2312" w:hAnsi="Times New Roman" w:cs="Times New Roman"/>
          <w:sz w:val="24"/>
          <w:szCs w:val="24"/>
        </w:rPr>
        <w:t>145.92</w:t>
      </w:r>
      <w:r w:rsidRPr="0079361A">
        <w:rPr>
          <w:rFonts w:ascii="Times New Roman" w:eastAsia="仿宋_GB2312" w:hAnsi="Times New Roman" w:cs="Times New Roman"/>
          <w:sz w:val="24"/>
          <w:szCs w:val="24"/>
        </w:rPr>
        <w:t>万元。富硒茶叶中天然含硒量为</w:t>
      </w:r>
      <w:r w:rsidRPr="0079361A">
        <w:rPr>
          <w:rFonts w:ascii="Times New Roman" w:eastAsia="仿宋_GB2312" w:hAnsi="Times New Roman" w:cs="Times New Roman"/>
          <w:sz w:val="24"/>
          <w:szCs w:val="24"/>
        </w:rPr>
        <w:t>0.282mg/kg</w:t>
      </w:r>
      <w:r w:rsidRPr="0079361A">
        <w:rPr>
          <w:rFonts w:ascii="Times New Roman" w:eastAsia="仿宋_GB2312" w:hAnsi="Times New Roman" w:cs="Times New Roman"/>
          <w:sz w:val="24"/>
          <w:szCs w:val="24"/>
        </w:rPr>
        <w:t>，是普通茶叶硒含量的</w:t>
      </w:r>
      <w:r w:rsidRPr="0079361A">
        <w:rPr>
          <w:rFonts w:ascii="Times New Roman" w:eastAsia="仿宋_GB2312" w:hAnsi="Times New Roman" w:cs="Times New Roman"/>
          <w:sz w:val="24"/>
          <w:szCs w:val="24"/>
        </w:rPr>
        <w:t>3-5</w:t>
      </w:r>
      <w:r w:rsidRPr="0079361A">
        <w:rPr>
          <w:rFonts w:ascii="Times New Roman" w:eastAsia="仿宋_GB2312" w:hAnsi="Times New Roman" w:cs="Times New Roman"/>
          <w:sz w:val="24"/>
          <w:szCs w:val="24"/>
        </w:rPr>
        <w:t>倍，且更易为人体吸收的有机硒含量高。</w:t>
      </w:r>
      <w:r w:rsidR="008D4C2F" w:rsidRPr="0079361A">
        <w:rPr>
          <w:rFonts w:ascii="Times New Roman" w:eastAsia="仿宋_GB2312" w:hAnsi="Times New Roman" w:cs="Times New Roman"/>
          <w:sz w:val="24"/>
          <w:szCs w:val="24"/>
        </w:rPr>
        <w:t>依托矿地融合项目，已开展了富硒小麦与蔬菜品种的优选工作。</w:t>
      </w:r>
    </w:p>
    <w:p w:rsidR="008401BC" w:rsidRPr="00472205" w:rsidRDefault="008401BC" w:rsidP="00E10662">
      <w:pPr>
        <w:spacing w:line="360" w:lineRule="auto"/>
        <w:ind w:firstLineChars="200" w:firstLine="560"/>
        <w:jc w:val="left"/>
        <w:outlineLvl w:val="0"/>
        <w:rPr>
          <w:rFonts w:ascii="Times New Roman" w:eastAsia="仿宋_GB2312" w:hAnsi="Times New Roman" w:cs="Times New Roman"/>
          <w:sz w:val="24"/>
          <w:szCs w:val="24"/>
        </w:rPr>
      </w:pPr>
      <w:r w:rsidRPr="000B6A6B">
        <w:rPr>
          <w:rFonts w:ascii="Times New Roman" w:hAnsi="Times New Roman" w:cs="Times New Roman"/>
          <w:noProof/>
          <w:sz w:val="28"/>
          <w:szCs w:val="28"/>
        </w:rPr>
        <w:drawing>
          <wp:inline distT="0" distB="0" distL="0" distR="0">
            <wp:extent cx="2596896" cy="1946873"/>
            <wp:effectExtent l="19050" t="0" r="0" b="0"/>
            <wp:docPr id="11" name="图片 8" descr="F:\照片\工作照片\太华富硒产地照片（2019-09-12提供给任）\太华富硒产地照片（2019-09-12提供给任）\稻米产地带标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照片\工作照片\太华富硒产地照片（2019-09-12提供给任）\太华富硒产地照片（2019-09-12提供给任）\稻米产地带标牌.jpg"/>
                    <pic:cNvPicPr>
                      <a:picLocks noChangeAspect="1" noChangeArrowheads="1"/>
                    </pic:cNvPicPr>
                  </pic:nvPicPr>
                  <pic:blipFill>
                    <a:blip r:embed="rId8" cstate="print"/>
                    <a:srcRect/>
                    <a:stretch>
                      <a:fillRect/>
                    </a:stretch>
                  </pic:blipFill>
                  <pic:spPr bwMode="auto">
                    <a:xfrm>
                      <a:off x="0" y="0"/>
                      <a:ext cx="2599705" cy="1948979"/>
                    </a:xfrm>
                    <a:prstGeom prst="rect">
                      <a:avLst/>
                    </a:prstGeom>
                    <a:noFill/>
                    <a:ln w="9525">
                      <a:noFill/>
                      <a:miter lim="800000"/>
                      <a:headEnd/>
                      <a:tailEnd/>
                    </a:ln>
                  </pic:spPr>
                </pic:pic>
              </a:graphicData>
            </a:graphic>
          </wp:inline>
        </w:drawing>
      </w:r>
      <w:r w:rsidR="00472205" w:rsidRPr="000B6A6B">
        <w:rPr>
          <w:rFonts w:ascii="Times New Roman" w:hAnsi="Times New Roman" w:cs="Times New Roman"/>
          <w:noProof/>
          <w:sz w:val="28"/>
          <w:szCs w:val="28"/>
        </w:rPr>
        <w:drawing>
          <wp:inline distT="0" distB="0" distL="0" distR="0">
            <wp:extent cx="2592476" cy="1945841"/>
            <wp:effectExtent l="19050" t="0" r="0" b="0"/>
            <wp:docPr id="14" name="图片 1" descr="579988034501236403"/>
            <wp:cNvGraphicFramePr/>
            <a:graphic xmlns:a="http://schemas.openxmlformats.org/drawingml/2006/main">
              <a:graphicData uri="http://schemas.openxmlformats.org/drawingml/2006/picture">
                <pic:pic xmlns:pic="http://schemas.openxmlformats.org/drawingml/2006/picture">
                  <pic:nvPicPr>
                    <pic:cNvPr id="94210" name="Picture 2" descr="5799880345012364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3148" cy="194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401BC" w:rsidRDefault="008401BC" w:rsidP="008401BC">
      <w:pPr>
        <w:spacing w:line="360" w:lineRule="auto"/>
        <w:jc w:val="center"/>
        <w:rPr>
          <w:rFonts w:ascii="Times New Roman" w:hAnsi="Times New Roman" w:cs="Times New Roman"/>
          <w:b/>
          <w:bCs/>
          <w:sz w:val="24"/>
          <w:szCs w:val="24"/>
        </w:rPr>
      </w:pPr>
      <w:r w:rsidRPr="000B6A6B">
        <w:rPr>
          <w:rFonts w:ascii="Times New Roman" w:hAnsi="Times New Roman" w:cs="Times New Roman"/>
          <w:b/>
          <w:bCs/>
          <w:sz w:val="24"/>
          <w:szCs w:val="24"/>
        </w:rPr>
        <w:t>太华镇天然富硒稻米产地及出产的富硒大米</w:t>
      </w:r>
    </w:p>
    <w:p w:rsidR="00472205" w:rsidRDefault="00472205" w:rsidP="008401BC">
      <w:pPr>
        <w:spacing w:line="360" w:lineRule="auto"/>
        <w:jc w:val="center"/>
        <w:rPr>
          <w:rFonts w:ascii="Times New Roman" w:hAnsi="Times New Roman" w:cs="Times New Roman"/>
          <w:b/>
          <w:bCs/>
          <w:sz w:val="24"/>
          <w:szCs w:val="24"/>
        </w:rPr>
      </w:pPr>
    </w:p>
    <w:p w:rsidR="00E10662" w:rsidRDefault="00E10662" w:rsidP="008401BC">
      <w:pPr>
        <w:spacing w:line="360" w:lineRule="auto"/>
        <w:jc w:val="center"/>
        <w:rPr>
          <w:rFonts w:ascii="Times New Roman" w:hAnsi="Times New Roman" w:cs="Times New Roman"/>
          <w:b/>
          <w:bCs/>
          <w:sz w:val="24"/>
          <w:szCs w:val="24"/>
        </w:rPr>
      </w:pPr>
    </w:p>
    <w:p w:rsidR="008401BC" w:rsidRPr="000B6A6B" w:rsidRDefault="008401BC" w:rsidP="00572757">
      <w:pPr>
        <w:spacing w:line="360" w:lineRule="auto"/>
        <w:ind w:firstLineChars="200" w:firstLine="420"/>
        <w:rPr>
          <w:rFonts w:ascii="Times New Roman" w:hAnsi="Times New Roman" w:cs="Times New Roman"/>
          <w:sz w:val="24"/>
        </w:rPr>
      </w:pPr>
      <w:bookmarkStart w:id="0" w:name="_Toc185757519"/>
      <w:r w:rsidRPr="000B6A6B">
        <w:rPr>
          <w:rFonts w:ascii="Times New Roman" w:hAnsi="Times New Roman" w:cs="Times New Roman"/>
          <w:noProof/>
        </w:rPr>
        <w:drawing>
          <wp:anchor distT="0" distB="0" distL="114300" distR="114300" simplePos="0" relativeHeight="251661312" behindDoc="0" locked="0" layoutInCell="1" allowOverlap="1" wp14:anchorId="197AFDC0" wp14:editId="1E656BBE">
            <wp:simplePos x="0" y="0"/>
            <wp:positionH relativeFrom="column">
              <wp:posOffset>-127000</wp:posOffset>
            </wp:positionH>
            <wp:positionV relativeFrom="paragraph">
              <wp:posOffset>132080</wp:posOffset>
            </wp:positionV>
            <wp:extent cx="2741930" cy="1542415"/>
            <wp:effectExtent l="19050" t="0" r="1270" b="0"/>
            <wp:wrapNone/>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0"/>
                    <a:srcRect/>
                    <a:stretch>
                      <a:fillRect/>
                    </a:stretch>
                  </pic:blipFill>
                  <pic:spPr bwMode="auto">
                    <a:xfrm>
                      <a:off x="0" y="0"/>
                      <a:ext cx="2741930" cy="1542415"/>
                    </a:xfrm>
                    <a:prstGeom prst="rect">
                      <a:avLst/>
                    </a:prstGeom>
                    <a:noFill/>
                    <a:ln w="9525">
                      <a:noFill/>
                      <a:miter lim="800000"/>
                      <a:headEnd/>
                      <a:tailEnd/>
                    </a:ln>
                  </pic:spPr>
                </pic:pic>
              </a:graphicData>
            </a:graphic>
          </wp:anchor>
        </w:drawing>
      </w:r>
      <w:r w:rsidRPr="000B6A6B">
        <w:rPr>
          <w:rFonts w:ascii="Times New Roman" w:hAnsi="Times New Roman" w:cs="Times New Roman"/>
          <w:noProof/>
        </w:rPr>
        <w:drawing>
          <wp:anchor distT="0" distB="0" distL="114300" distR="114300" simplePos="0" relativeHeight="251660288" behindDoc="0" locked="0" layoutInCell="1" allowOverlap="1" wp14:anchorId="33E32C52" wp14:editId="2D280687">
            <wp:simplePos x="0" y="0"/>
            <wp:positionH relativeFrom="column">
              <wp:posOffset>2613660</wp:posOffset>
            </wp:positionH>
            <wp:positionV relativeFrom="paragraph">
              <wp:posOffset>132080</wp:posOffset>
            </wp:positionV>
            <wp:extent cx="2741930" cy="1542415"/>
            <wp:effectExtent l="19050" t="0" r="1270" b="0"/>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
                    <a:srcRect/>
                    <a:stretch>
                      <a:fillRect/>
                    </a:stretch>
                  </pic:blipFill>
                  <pic:spPr bwMode="auto">
                    <a:xfrm>
                      <a:off x="0" y="0"/>
                      <a:ext cx="2741930" cy="1542415"/>
                    </a:xfrm>
                    <a:prstGeom prst="rect">
                      <a:avLst/>
                    </a:prstGeom>
                    <a:noFill/>
                    <a:ln w="9525">
                      <a:noFill/>
                      <a:miter lim="800000"/>
                      <a:headEnd/>
                      <a:tailEnd/>
                    </a:ln>
                  </pic:spPr>
                </pic:pic>
              </a:graphicData>
            </a:graphic>
          </wp:anchor>
        </w:drawing>
      </w:r>
      <w:r w:rsidRPr="000B6A6B">
        <w:rPr>
          <w:rFonts w:ascii="Times New Roman" w:hAnsi="Times New Roman" w:cs="Times New Roman"/>
          <w:noProof/>
        </w:rPr>
        <w:drawing>
          <wp:anchor distT="0" distB="0" distL="114300" distR="114300" simplePos="0" relativeHeight="251662336" behindDoc="0" locked="0" layoutInCell="1" allowOverlap="1" wp14:anchorId="738F407B" wp14:editId="59A9ADE9">
            <wp:simplePos x="0" y="0"/>
            <wp:positionH relativeFrom="column">
              <wp:posOffset>-124460</wp:posOffset>
            </wp:positionH>
            <wp:positionV relativeFrom="paragraph">
              <wp:posOffset>1674495</wp:posOffset>
            </wp:positionV>
            <wp:extent cx="2741930" cy="1542415"/>
            <wp:effectExtent l="19050" t="0" r="1270" b="0"/>
            <wp:wrapNone/>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2"/>
                    <a:srcRect/>
                    <a:stretch>
                      <a:fillRect/>
                    </a:stretch>
                  </pic:blipFill>
                  <pic:spPr bwMode="auto">
                    <a:xfrm>
                      <a:off x="0" y="0"/>
                      <a:ext cx="2741930" cy="1542415"/>
                    </a:xfrm>
                    <a:prstGeom prst="rect">
                      <a:avLst/>
                    </a:prstGeom>
                    <a:noFill/>
                    <a:ln w="9525">
                      <a:noFill/>
                      <a:miter lim="800000"/>
                      <a:headEnd/>
                      <a:tailEnd/>
                    </a:ln>
                  </pic:spPr>
                </pic:pic>
              </a:graphicData>
            </a:graphic>
          </wp:anchor>
        </w:drawing>
      </w:r>
    </w:p>
    <w:p w:rsidR="008401BC" w:rsidRPr="000B6A6B" w:rsidRDefault="008401BC" w:rsidP="00572757">
      <w:pPr>
        <w:spacing w:line="360" w:lineRule="auto"/>
        <w:ind w:firstLineChars="200" w:firstLine="480"/>
        <w:rPr>
          <w:rFonts w:ascii="Times New Roman" w:hAnsi="Times New Roman" w:cs="Times New Roman"/>
          <w:sz w:val="24"/>
        </w:rPr>
      </w:pPr>
    </w:p>
    <w:p w:rsidR="008401BC" w:rsidRPr="000B6A6B" w:rsidRDefault="008401BC" w:rsidP="00572757">
      <w:pPr>
        <w:spacing w:line="360" w:lineRule="auto"/>
        <w:ind w:firstLineChars="200" w:firstLine="480"/>
        <w:rPr>
          <w:rFonts w:ascii="Times New Roman" w:hAnsi="Times New Roman" w:cs="Times New Roman"/>
          <w:sz w:val="24"/>
        </w:rPr>
      </w:pPr>
    </w:p>
    <w:p w:rsidR="008401BC" w:rsidRPr="000B6A6B" w:rsidRDefault="008401BC" w:rsidP="00572757">
      <w:pPr>
        <w:spacing w:line="360" w:lineRule="auto"/>
        <w:ind w:firstLineChars="200" w:firstLine="480"/>
        <w:rPr>
          <w:rFonts w:ascii="Times New Roman" w:hAnsi="Times New Roman" w:cs="Times New Roman"/>
          <w:sz w:val="24"/>
        </w:rPr>
      </w:pPr>
    </w:p>
    <w:p w:rsidR="008401BC" w:rsidRPr="000B6A6B" w:rsidRDefault="008401BC" w:rsidP="00572757">
      <w:pPr>
        <w:spacing w:line="360" w:lineRule="auto"/>
        <w:ind w:firstLineChars="200" w:firstLine="420"/>
        <w:rPr>
          <w:rFonts w:ascii="Times New Roman" w:hAnsi="Times New Roman" w:cs="Times New Roman"/>
          <w:sz w:val="24"/>
        </w:rPr>
      </w:pPr>
      <w:r w:rsidRPr="000B6A6B">
        <w:rPr>
          <w:rFonts w:ascii="Times New Roman" w:hAnsi="Times New Roman" w:cs="Times New Roman"/>
          <w:noProof/>
        </w:rPr>
        <w:drawing>
          <wp:anchor distT="0" distB="0" distL="114300" distR="114300" simplePos="0" relativeHeight="251663360" behindDoc="0" locked="0" layoutInCell="1" allowOverlap="1" wp14:anchorId="5D81ADD1" wp14:editId="52F61386">
            <wp:simplePos x="0" y="0"/>
            <wp:positionH relativeFrom="column">
              <wp:posOffset>2613025</wp:posOffset>
            </wp:positionH>
            <wp:positionV relativeFrom="paragraph">
              <wp:posOffset>485775</wp:posOffset>
            </wp:positionV>
            <wp:extent cx="2745105" cy="1544320"/>
            <wp:effectExtent l="19050" t="0" r="0" b="0"/>
            <wp:wrapTopAndBottom/>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3" cstate="print"/>
                    <a:srcRect/>
                    <a:stretch>
                      <a:fillRect/>
                    </a:stretch>
                  </pic:blipFill>
                  <pic:spPr bwMode="auto">
                    <a:xfrm>
                      <a:off x="0" y="0"/>
                      <a:ext cx="2745105" cy="1544320"/>
                    </a:xfrm>
                    <a:prstGeom prst="rect">
                      <a:avLst/>
                    </a:prstGeom>
                    <a:noFill/>
                    <a:ln w="9525">
                      <a:noFill/>
                      <a:miter lim="800000"/>
                      <a:headEnd/>
                      <a:tailEnd/>
                    </a:ln>
                  </pic:spPr>
                </pic:pic>
              </a:graphicData>
            </a:graphic>
          </wp:anchor>
        </w:drawing>
      </w:r>
    </w:p>
    <w:bookmarkEnd w:id="0"/>
    <w:p w:rsidR="008D4C2F" w:rsidRDefault="008D4C2F" w:rsidP="004B75B8">
      <w:pPr>
        <w:spacing w:line="360" w:lineRule="auto"/>
        <w:ind w:firstLineChars="200" w:firstLine="482"/>
        <w:jc w:val="center"/>
        <w:outlineLvl w:val="0"/>
        <w:rPr>
          <w:rFonts w:ascii="Times New Roman" w:hAnsi="Times New Roman" w:cs="Times New Roman"/>
          <w:b/>
          <w:sz w:val="24"/>
          <w:szCs w:val="28"/>
        </w:rPr>
      </w:pPr>
      <w:r w:rsidRPr="000B6A6B">
        <w:rPr>
          <w:rFonts w:ascii="Times New Roman" w:hAnsi="Times New Roman" w:cs="Times New Roman"/>
          <w:b/>
          <w:sz w:val="24"/>
          <w:szCs w:val="28"/>
        </w:rPr>
        <w:t>富硒农产品品种筛选示范区示意图</w:t>
      </w:r>
    </w:p>
    <w:p w:rsidR="00472205" w:rsidRPr="0079361A" w:rsidRDefault="00A109F2" w:rsidP="00472205">
      <w:pPr>
        <w:spacing w:line="360" w:lineRule="auto"/>
        <w:ind w:firstLineChars="200" w:firstLine="482"/>
        <w:rPr>
          <w:rFonts w:ascii="Times New Roman" w:eastAsia="仿宋_GB2312" w:hAnsi="Times New Roman" w:cs="Times New Roman"/>
          <w:b/>
          <w:sz w:val="24"/>
          <w:szCs w:val="24"/>
        </w:rPr>
      </w:pPr>
      <w:r>
        <w:rPr>
          <w:rFonts w:ascii="Times New Roman" w:eastAsia="仿宋_GB2312" w:hAnsi="Times New Roman" w:cs="Times New Roman" w:hint="eastAsia"/>
          <w:b/>
          <w:sz w:val="24"/>
          <w:szCs w:val="24"/>
        </w:rPr>
        <w:lastRenderedPageBreak/>
        <w:t>二</w:t>
      </w:r>
      <w:r w:rsidR="00472205" w:rsidRPr="0079361A">
        <w:rPr>
          <w:rFonts w:ascii="Times New Roman" w:eastAsia="仿宋_GB2312" w:hAnsi="Times New Roman" w:cs="Times New Roman" w:hint="eastAsia"/>
          <w:b/>
          <w:sz w:val="24"/>
          <w:szCs w:val="24"/>
        </w:rPr>
        <w:t>、</w:t>
      </w:r>
      <w:r w:rsidR="00472205" w:rsidRPr="0079361A">
        <w:rPr>
          <w:rFonts w:ascii="Times New Roman" w:eastAsia="仿宋_GB2312" w:hAnsi="Times New Roman" w:cs="Times New Roman"/>
          <w:b/>
          <w:sz w:val="24"/>
          <w:szCs w:val="24"/>
        </w:rPr>
        <w:t>盐穴地下空间</w:t>
      </w:r>
      <w:r w:rsidR="00472205" w:rsidRPr="0079361A">
        <w:rPr>
          <w:rFonts w:ascii="Times New Roman" w:eastAsia="仿宋_GB2312" w:hAnsi="Times New Roman" w:cs="Times New Roman" w:hint="eastAsia"/>
          <w:b/>
          <w:sz w:val="24"/>
          <w:szCs w:val="24"/>
        </w:rPr>
        <w:t>开发利用</w:t>
      </w:r>
    </w:p>
    <w:p w:rsidR="00A109F2" w:rsidRPr="0079361A" w:rsidRDefault="00472205" w:rsidP="00A109F2">
      <w:pPr>
        <w:spacing w:line="360" w:lineRule="auto"/>
        <w:ind w:firstLineChars="200" w:firstLine="480"/>
        <w:rPr>
          <w:rFonts w:ascii="Times New Roman" w:eastAsia="仿宋_GB2312" w:hAnsi="Times New Roman" w:cs="Times New Roman"/>
          <w:sz w:val="24"/>
          <w:szCs w:val="24"/>
        </w:rPr>
      </w:pPr>
      <w:r w:rsidRPr="0079361A">
        <w:rPr>
          <w:rFonts w:ascii="Times New Roman" w:eastAsia="仿宋_GB2312" w:hAnsi="Times New Roman" w:cs="Times New Roman"/>
          <w:sz w:val="24"/>
          <w:szCs w:val="24"/>
        </w:rPr>
        <w:t>盐穴地下空间是一类特殊的深层地下空间资源，由于盐岩具有低渗透性、低孔隙度与良好封闭性，且盐岩与油气接触时不发生化学变化，因此成为能源储存最理想的介质空间。我省盐穴地下空间虽然超过</w:t>
      </w:r>
      <w:r w:rsidRPr="0079361A">
        <w:rPr>
          <w:rFonts w:ascii="Times New Roman" w:eastAsia="仿宋_GB2312" w:hAnsi="Times New Roman" w:cs="Times New Roman"/>
          <w:sz w:val="24"/>
          <w:szCs w:val="24"/>
        </w:rPr>
        <w:t>4000</w:t>
      </w:r>
      <w:r w:rsidRPr="0079361A">
        <w:rPr>
          <w:rFonts w:ascii="Times New Roman" w:eastAsia="仿宋_GB2312" w:hAnsi="Times New Roman" w:cs="Times New Roman"/>
          <w:sz w:val="24"/>
          <w:szCs w:val="24"/>
        </w:rPr>
        <w:t>万</w:t>
      </w:r>
      <w:r w:rsidRPr="0079361A">
        <w:rPr>
          <w:rFonts w:ascii="Times New Roman" w:eastAsia="仿宋_GB2312" w:hAnsi="Times New Roman" w:cs="Times New Roman"/>
          <w:sz w:val="24"/>
          <w:szCs w:val="24"/>
        </w:rPr>
        <w:t>m</w:t>
      </w:r>
      <w:r w:rsidRPr="00375A8B">
        <w:rPr>
          <w:rFonts w:ascii="Times New Roman" w:eastAsia="仿宋_GB2312" w:hAnsi="Times New Roman" w:cs="Times New Roman"/>
          <w:sz w:val="24"/>
          <w:szCs w:val="24"/>
          <w:vertAlign w:val="superscript"/>
        </w:rPr>
        <w:t>3</w:t>
      </w:r>
      <w:r w:rsidRPr="0079361A">
        <w:rPr>
          <w:rFonts w:ascii="Times New Roman" w:eastAsia="仿宋_GB2312" w:hAnsi="Times New Roman" w:cs="Times New Roman"/>
          <w:sz w:val="24"/>
          <w:szCs w:val="24"/>
        </w:rPr>
        <w:t>，</w:t>
      </w:r>
      <w:r w:rsidRPr="0079361A">
        <w:rPr>
          <w:rFonts w:ascii="Times New Roman" w:eastAsia="仿宋_GB2312" w:hAnsi="Times New Roman" w:cs="Times New Roman" w:hint="eastAsia"/>
          <w:sz w:val="24"/>
          <w:szCs w:val="24"/>
        </w:rPr>
        <w:t>但</w:t>
      </w:r>
      <w:r w:rsidRPr="0079361A">
        <w:rPr>
          <w:rFonts w:ascii="Times New Roman" w:eastAsia="仿宋_GB2312" w:hAnsi="Times New Roman" w:cs="Times New Roman"/>
          <w:sz w:val="24"/>
          <w:szCs w:val="24"/>
        </w:rPr>
        <w:t>仅金坛盐矿进行了开发利用。</w:t>
      </w:r>
    </w:p>
    <w:p w:rsidR="00E033B3" w:rsidRDefault="00472205" w:rsidP="00E10662">
      <w:pPr>
        <w:spacing w:line="360" w:lineRule="auto"/>
        <w:ind w:firstLineChars="200" w:firstLine="480"/>
        <w:rPr>
          <w:rFonts w:ascii="Times New Roman" w:eastAsia="仿宋_GB2312" w:hAnsi="Times New Roman" w:cs="Times New Roman"/>
          <w:sz w:val="24"/>
          <w:szCs w:val="24"/>
        </w:rPr>
      </w:pPr>
      <w:r w:rsidRPr="0079361A">
        <w:rPr>
          <w:rFonts w:ascii="Times New Roman" w:eastAsia="仿宋_GB2312" w:hAnsi="Times New Roman" w:cs="Times New Roman"/>
          <w:sz w:val="24"/>
          <w:szCs w:val="24"/>
        </w:rPr>
        <w:t>盐穴地下空间作为一种二次可利用的特殊深地空间资源，其价值已经远远超过了采卤制盐的价值。经过全面调查与科学论证，目前淮安地区盐穴地下空间资源量即现有库容量为</w:t>
      </w:r>
      <w:r w:rsidR="00E033B3" w:rsidRPr="0079361A">
        <w:rPr>
          <w:rFonts w:ascii="Times New Roman" w:eastAsia="仿宋_GB2312" w:hAnsi="Times New Roman" w:cs="Times New Roman"/>
          <w:sz w:val="24"/>
          <w:szCs w:val="24"/>
        </w:rPr>
        <w:t>5582×104m</w:t>
      </w:r>
      <w:r w:rsidR="00E033B3" w:rsidRPr="00472205">
        <w:rPr>
          <w:rFonts w:ascii="Times New Roman" w:eastAsia="仿宋_GB2312" w:hAnsi="Times New Roman" w:cs="Times New Roman"/>
          <w:sz w:val="24"/>
          <w:szCs w:val="24"/>
          <w:vertAlign w:val="superscript"/>
        </w:rPr>
        <w:t>3</w:t>
      </w:r>
      <w:r w:rsidR="00E033B3" w:rsidRPr="0079361A">
        <w:rPr>
          <w:rFonts w:ascii="Times New Roman" w:eastAsia="仿宋_GB2312" w:hAnsi="Times New Roman" w:cs="Times New Roman"/>
          <w:sz w:val="24"/>
          <w:szCs w:val="24"/>
        </w:rPr>
        <w:t>，其中淮安盐盆</w:t>
      </w:r>
      <w:r w:rsidR="00E033B3" w:rsidRPr="0079361A">
        <w:rPr>
          <w:rFonts w:ascii="Times New Roman" w:eastAsia="仿宋_GB2312" w:hAnsi="Times New Roman" w:cs="Times New Roman"/>
          <w:sz w:val="24"/>
          <w:szCs w:val="24"/>
        </w:rPr>
        <w:t>2410×104m</w:t>
      </w:r>
      <w:r w:rsidR="00E033B3" w:rsidRPr="00472205">
        <w:rPr>
          <w:rFonts w:ascii="Times New Roman" w:eastAsia="仿宋_GB2312" w:hAnsi="Times New Roman" w:cs="Times New Roman"/>
          <w:sz w:val="24"/>
          <w:szCs w:val="24"/>
          <w:vertAlign w:val="superscript"/>
        </w:rPr>
        <w:t>3</w:t>
      </w:r>
      <w:r w:rsidR="00E033B3" w:rsidRPr="0079361A">
        <w:rPr>
          <w:rFonts w:ascii="Times New Roman" w:eastAsia="仿宋_GB2312" w:hAnsi="Times New Roman" w:cs="Times New Roman"/>
          <w:sz w:val="24"/>
          <w:szCs w:val="24"/>
        </w:rPr>
        <w:t>，洪泽盐盆</w:t>
      </w:r>
      <w:r w:rsidR="00E033B3" w:rsidRPr="0079361A">
        <w:rPr>
          <w:rFonts w:ascii="Times New Roman" w:eastAsia="仿宋_GB2312" w:hAnsi="Times New Roman" w:cs="Times New Roman"/>
          <w:sz w:val="24"/>
          <w:szCs w:val="24"/>
        </w:rPr>
        <w:t>3172×104m</w:t>
      </w:r>
      <w:r w:rsidR="00E033B3" w:rsidRPr="00472205">
        <w:rPr>
          <w:rFonts w:ascii="Times New Roman" w:eastAsia="仿宋_GB2312" w:hAnsi="Times New Roman" w:cs="Times New Roman"/>
          <w:sz w:val="24"/>
          <w:szCs w:val="24"/>
          <w:vertAlign w:val="superscript"/>
        </w:rPr>
        <w:t>3</w:t>
      </w:r>
      <w:r w:rsidR="00E033B3" w:rsidRPr="0079361A">
        <w:rPr>
          <w:rFonts w:ascii="Times New Roman" w:eastAsia="仿宋_GB2312" w:hAnsi="Times New Roman" w:cs="Times New Roman"/>
          <w:sz w:val="24"/>
          <w:szCs w:val="24"/>
        </w:rPr>
        <w:t>。淮安盐穴地下空间资源量较为丰富，利用前景较为可观。</w:t>
      </w:r>
    </w:p>
    <w:p w:rsidR="001F04F3" w:rsidRPr="001F04F3" w:rsidRDefault="001F04F3" w:rsidP="009D1B07">
      <w:pPr>
        <w:spacing w:line="360" w:lineRule="auto"/>
        <w:jc w:val="center"/>
        <w:rPr>
          <w:rFonts w:ascii="Times New Roman" w:eastAsia="楷体_GB2312" w:hAnsi="Times New Roman" w:cs="Times New Roman"/>
          <w:sz w:val="24"/>
        </w:rPr>
      </w:pPr>
      <w:r w:rsidRPr="001F04F3">
        <w:rPr>
          <w:rFonts w:ascii="Times New Roman" w:eastAsia="宋体" w:hAnsi="Times New Roman" w:cs="Times New Roman"/>
          <w:noProof/>
        </w:rPr>
        <w:drawing>
          <wp:inline distT="0" distB="0" distL="0" distR="0" wp14:anchorId="35F04022" wp14:editId="5CD925FA">
            <wp:extent cx="1896994" cy="1715996"/>
            <wp:effectExtent l="19050" t="19050" r="2730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3338" cy="1721734"/>
                    </a:xfrm>
                    <a:prstGeom prst="rect">
                      <a:avLst/>
                    </a:prstGeom>
                    <a:noFill/>
                    <a:ln w="9525">
                      <a:solidFill>
                        <a:sysClr val="windowText" lastClr="000000"/>
                      </a:solidFill>
                    </a:ln>
                  </pic:spPr>
                </pic:pic>
              </a:graphicData>
            </a:graphic>
          </wp:inline>
        </w:drawing>
      </w:r>
      <w:r w:rsidRPr="001F04F3">
        <w:rPr>
          <w:rFonts w:ascii="Times New Roman" w:eastAsia="楷体_GB2312" w:hAnsi="Times New Roman" w:cs="Times New Roman"/>
          <w:noProof/>
          <w:sz w:val="24"/>
        </w:rPr>
        <w:drawing>
          <wp:inline distT="0" distB="0" distL="0" distR="0" wp14:anchorId="1192C88E" wp14:editId="4724B62B">
            <wp:extent cx="3078480" cy="181179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腔体示意图.jpg"/>
                    <pic:cNvPicPr/>
                  </pic:nvPicPr>
                  <pic:blipFill rotWithShape="1">
                    <a:blip r:embed="rId15" cstate="print">
                      <a:extLst>
                        <a:ext uri="{28A0092B-C50C-407E-A947-70E740481C1C}">
                          <a14:useLocalDpi xmlns:a14="http://schemas.microsoft.com/office/drawing/2010/main" val="0"/>
                        </a:ext>
                      </a:extLst>
                    </a:blip>
                    <a:srcRect l="2580" r="2750" b="9822"/>
                    <a:stretch/>
                  </pic:blipFill>
                  <pic:spPr bwMode="auto">
                    <a:xfrm>
                      <a:off x="0" y="0"/>
                      <a:ext cx="3081624" cy="1813645"/>
                    </a:xfrm>
                    <a:prstGeom prst="rect">
                      <a:avLst/>
                    </a:prstGeom>
                    <a:ln>
                      <a:noFill/>
                    </a:ln>
                    <a:extLst>
                      <a:ext uri="{53640926-AAD7-44D8-BBD7-CCE9431645EC}">
                        <a14:shadowObscured xmlns:a14="http://schemas.microsoft.com/office/drawing/2010/main"/>
                      </a:ext>
                    </a:extLst>
                  </pic:spPr>
                </pic:pic>
              </a:graphicData>
            </a:graphic>
          </wp:inline>
        </w:drawing>
      </w:r>
    </w:p>
    <w:p w:rsidR="001F04F3" w:rsidRPr="009666D0" w:rsidRDefault="001F04F3" w:rsidP="001F04F3">
      <w:pPr>
        <w:spacing w:line="360" w:lineRule="auto"/>
        <w:ind w:firstLine="420"/>
        <w:jc w:val="center"/>
        <w:rPr>
          <w:rFonts w:ascii="Times New Roman" w:hAnsi="Times New Roman" w:cs="Times New Roman"/>
          <w:b/>
          <w:noProof/>
          <w:szCs w:val="20"/>
        </w:rPr>
      </w:pPr>
      <w:r w:rsidRPr="009666D0">
        <w:rPr>
          <w:rFonts w:ascii="Times New Roman" w:hAnsi="Times New Roman" w:cs="Times New Roman"/>
          <w:b/>
          <w:noProof/>
          <w:szCs w:val="20"/>
        </w:rPr>
        <w:t>层状盐岩地层中的盐穴地下空间分布示意图</w:t>
      </w:r>
    </w:p>
    <w:p w:rsidR="00AD3CA0" w:rsidRPr="0079361A" w:rsidRDefault="00AD3CA0" w:rsidP="0079361A">
      <w:pPr>
        <w:spacing w:line="360" w:lineRule="auto"/>
        <w:ind w:firstLineChars="200" w:firstLine="482"/>
        <w:outlineLvl w:val="0"/>
        <w:rPr>
          <w:rFonts w:ascii="Times New Roman" w:eastAsia="仿宋_GB2312" w:hAnsi="Times New Roman" w:cs="Times New Roman"/>
          <w:sz w:val="24"/>
          <w:szCs w:val="24"/>
        </w:rPr>
      </w:pPr>
      <w:r w:rsidRPr="0079361A">
        <w:rPr>
          <w:rFonts w:ascii="Times New Roman" w:eastAsia="仿宋_GB2312" w:hAnsi="Times New Roman" w:cs="Times New Roman"/>
          <w:b/>
          <w:sz w:val="24"/>
          <w:szCs w:val="24"/>
        </w:rPr>
        <w:t>处置固体碱渣：</w:t>
      </w:r>
      <w:r w:rsidR="000D25B1" w:rsidRPr="0079361A">
        <w:rPr>
          <w:rFonts w:ascii="Times New Roman" w:eastAsia="仿宋_GB2312" w:hAnsi="Times New Roman" w:cs="Times New Roman"/>
          <w:sz w:val="24"/>
          <w:szCs w:val="24"/>
        </w:rPr>
        <w:t>选择淮安盐盆下关矿区、蒋南矿区部分盐穴地下空间，开展处置盐化工碱渣的研究</w:t>
      </w:r>
      <w:r w:rsidR="00D508C6" w:rsidRPr="0079361A">
        <w:rPr>
          <w:rFonts w:ascii="Times New Roman" w:eastAsia="仿宋_GB2312" w:hAnsi="Times New Roman" w:cs="Times New Roman"/>
          <w:sz w:val="24"/>
          <w:szCs w:val="24"/>
        </w:rPr>
        <w:t>，目前已</w:t>
      </w:r>
      <w:r w:rsidR="000D25B1" w:rsidRPr="0079361A">
        <w:rPr>
          <w:rFonts w:ascii="Times New Roman" w:eastAsia="仿宋_GB2312" w:hAnsi="Times New Roman" w:cs="Times New Roman"/>
          <w:sz w:val="24"/>
          <w:szCs w:val="24"/>
        </w:rPr>
        <w:t>成功处置了数十万吨碱渣，有效避免了碱渣尾矿库地面堆积带来的污染以及地面沉降灾害</w:t>
      </w:r>
      <w:r w:rsidRPr="0079361A">
        <w:rPr>
          <w:rFonts w:ascii="Times New Roman" w:eastAsia="仿宋_GB2312" w:hAnsi="Times New Roman" w:cs="Times New Roman"/>
          <w:sz w:val="24"/>
          <w:szCs w:val="24"/>
        </w:rPr>
        <w:t>。</w:t>
      </w:r>
    </w:p>
    <w:p w:rsidR="00636F04" w:rsidRPr="0079361A" w:rsidRDefault="00636F04" w:rsidP="0079361A">
      <w:pPr>
        <w:spacing w:line="360" w:lineRule="auto"/>
        <w:ind w:firstLineChars="200" w:firstLine="482"/>
        <w:outlineLvl w:val="0"/>
        <w:rPr>
          <w:rFonts w:ascii="Times New Roman" w:eastAsia="仿宋_GB2312" w:hAnsi="Times New Roman" w:cs="Times New Roman"/>
          <w:sz w:val="24"/>
          <w:szCs w:val="24"/>
        </w:rPr>
      </w:pPr>
      <w:r w:rsidRPr="0079361A">
        <w:rPr>
          <w:rFonts w:ascii="Times New Roman" w:eastAsia="仿宋_GB2312" w:hAnsi="Times New Roman" w:cs="Times New Roman"/>
          <w:b/>
          <w:sz w:val="24"/>
          <w:szCs w:val="24"/>
        </w:rPr>
        <w:t>储存天然气：</w:t>
      </w:r>
      <w:r w:rsidR="007547FD" w:rsidRPr="0079361A">
        <w:rPr>
          <w:rFonts w:ascii="Times New Roman" w:eastAsia="仿宋_GB2312" w:hAnsi="Times New Roman" w:cs="Times New Roman" w:hint="eastAsia"/>
          <w:sz w:val="24"/>
          <w:szCs w:val="24"/>
        </w:rPr>
        <w:t>蒋南矿区的能源存储的模拟试验等关键技术工作已经完成，初步形成了水平连通井储气的新技术</w:t>
      </w:r>
      <w:r w:rsidRPr="0079361A">
        <w:rPr>
          <w:rFonts w:ascii="Times New Roman" w:eastAsia="仿宋_GB2312" w:hAnsi="Times New Roman" w:cs="Times New Roman"/>
          <w:sz w:val="24"/>
          <w:szCs w:val="24"/>
        </w:rPr>
        <w:t>，</w:t>
      </w:r>
      <w:r w:rsidR="001814AA" w:rsidRPr="0079361A">
        <w:rPr>
          <w:rFonts w:ascii="Times New Roman" w:eastAsia="仿宋_GB2312" w:hAnsi="Times New Roman" w:cs="Times New Roman"/>
          <w:sz w:val="24"/>
          <w:szCs w:val="24"/>
        </w:rPr>
        <w:t>突破低品位盐矿建设储气库的禁区，针对淮安地区乃至全国建设低品位盐矿建设储气库奠定了技术基础，有力推动储气库建设进程。</w:t>
      </w:r>
    </w:p>
    <w:p w:rsidR="00636F04" w:rsidRPr="0079361A" w:rsidRDefault="00AD3CA0" w:rsidP="00472205">
      <w:pPr>
        <w:spacing w:line="360" w:lineRule="auto"/>
        <w:ind w:firstLineChars="200" w:firstLine="480"/>
        <w:jc w:val="center"/>
        <w:outlineLvl w:val="0"/>
        <w:rPr>
          <w:rFonts w:ascii="Times New Roman" w:eastAsia="仿宋_GB2312" w:hAnsi="Times New Roman" w:cs="Times New Roman"/>
          <w:sz w:val="24"/>
          <w:szCs w:val="24"/>
        </w:rPr>
      </w:pPr>
      <w:r w:rsidRPr="0079361A">
        <w:rPr>
          <w:rFonts w:ascii="Times New Roman" w:eastAsia="仿宋_GB2312" w:hAnsi="Times New Roman" w:cs="Times New Roman"/>
          <w:noProof/>
          <w:sz w:val="24"/>
          <w:szCs w:val="24"/>
        </w:rPr>
        <w:drawing>
          <wp:inline distT="0" distB="0" distL="0" distR="0" wp14:anchorId="666D6D81" wp14:editId="0F0EDE8F">
            <wp:extent cx="4166483" cy="2305601"/>
            <wp:effectExtent l="0" t="0" r="0" b="0"/>
            <wp:docPr id="22" name="图片 22" descr="F:\2018地矿融合盐穴\2018地矿融合-盐穴\盐穴图片\微信图片_2019091911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8地矿融合盐穴\2018地矿融合-盐穴\盐穴图片\微信图片_2019091911083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36382" r="629" b="1102"/>
                    <a:stretch/>
                  </pic:blipFill>
                  <pic:spPr bwMode="auto">
                    <a:xfrm>
                      <a:off x="0" y="0"/>
                      <a:ext cx="4221445" cy="2336015"/>
                    </a:xfrm>
                    <a:prstGeom prst="rect">
                      <a:avLst/>
                    </a:prstGeom>
                    <a:noFill/>
                    <a:ln>
                      <a:noFill/>
                    </a:ln>
                    <a:extLst>
                      <a:ext uri="{53640926-AAD7-44D8-BBD7-CCE9431645EC}">
                        <a14:shadowObscured xmlns:a14="http://schemas.microsoft.com/office/drawing/2010/main"/>
                      </a:ext>
                    </a:extLst>
                  </pic:spPr>
                </pic:pic>
              </a:graphicData>
            </a:graphic>
          </wp:inline>
        </w:drawing>
      </w:r>
    </w:p>
    <w:p w:rsidR="00636F04" w:rsidRPr="00302BC8" w:rsidRDefault="00AD3CA0" w:rsidP="00302BC8">
      <w:pPr>
        <w:spacing w:line="360" w:lineRule="auto"/>
        <w:ind w:firstLineChars="200" w:firstLine="482"/>
        <w:jc w:val="center"/>
        <w:outlineLvl w:val="0"/>
        <w:rPr>
          <w:rFonts w:ascii="Times New Roman" w:eastAsia="仿宋_GB2312" w:hAnsi="Times New Roman" w:cs="Times New Roman"/>
          <w:b/>
          <w:sz w:val="24"/>
          <w:szCs w:val="24"/>
        </w:rPr>
      </w:pPr>
      <w:r w:rsidRPr="00302BC8">
        <w:rPr>
          <w:rFonts w:ascii="Times New Roman" w:eastAsia="仿宋_GB2312" w:hAnsi="Times New Roman" w:cs="Times New Roman"/>
          <w:b/>
          <w:sz w:val="24"/>
          <w:szCs w:val="24"/>
        </w:rPr>
        <w:lastRenderedPageBreak/>
        <w:t>盐穴储气库结构</w:t>
      </w:r>
      <w:r w:rsidR="008E2627" w:rsidRPr="00302BC8">
        <w:rPr>
          <w:rFonts w:ascii="Times New Roman" w:eastAsia="仿宋_GB2312" w:hAnsi="Times New Roman" w:cs="Times New Roman"/>
          <w:b/>
          <w:sz w:val="24"/>
          <w:szCs w:val="24"/>
        </w:rPr>
        <w:t>沙盘</w:t>
      </w:r>
      <w:r w:rsidRPr="00302BC8">
        <w:rPr>
          <w:rFonts w:ascii="Times New Roman" w:eastAsia="仿宋_GB2312" w:hAnsi="Times New Roman" w:cs="Times New Roman"/>
          <w:b/>
          <w:sz w:val="24"/>
          <w:szCs w:val="24"/>
        </w:rPr>
        <w:t>模型</w:t>
      </w:r>
    </w:p>
    <w:p w:rsidR="00636F04" w:rsidRPr="0079361A" w:rsidRDefault="00636F04" w:rsidP="0079361A">
      <w:pPr>
        <w:spacing w:line="360" w:lineRule="auto"/>
        <w:ind w:firstLineChars="200" w:firstLine="482"/>
        <w:outlineLvl w:val="0"/>
        <w:rPr>
          <w:rFonts w:ascii="Times New Roman" w:eastAsia="仿宋_GB2312" w:hAnsi="Times New Roman" w:cs="Times New Roman"/>
          <w:sz w:val="24"/>
          <w:szCs w:val="24"/>
        </w:rPr>
      </w:pPr>
      <w:r w:rsidRPr="0079361A">
        <w:rPr>
          <w:rFonts w:ascii="Times New Roman" w:eastAsia="仿宋_GB2312" w:hAnsi="Times New Roman" w:cs="Times New Roman"/>
          <w:b/>
          <w:sz w:val="24"/>
          <w:szCs w:val="24"/>
        </w:rPr>
        <w:t>储备战略石油：</w:t>
      </w:r>
      <w:r w:rsidRPr="0079361A">
        <w:rPr>
          <w:rFonts w:ascii="Times New Roman" w:eastAsia="仿宋_GB2312" w:hAnsi="Times New Roman" w:cs="Times New Roman"/>
          <w:sz w:val="24"/>
          <w:szCs w:val="24"/>
        </w:rPr>
        <w:t>石油是社会发展不可缺少的重要能源，战略石油储备是国家对石油的储备，以应对短期石油供应冲击（大规模减少或中断），服务国家能源安全。利用盐穴地下空间储备战略石油具有较多优势。</w:t>
      </w:r>
      <w:r w:rsidR="001814AA" w:rsidRPr="0079361A">
        <w:rPr>
          <w:rFonts w:ascii="Times New Roman" w:eastAsia="仿宋_GB2312" w:hAnsi="Times New Roman" w:cs="Times New Roman"/>
          <w:sz w:val="24"/>
          <w:szCs w:val="24"/>
        </w:rPr>
        <w:t>选择淮安盐盆的蒋南矿区、庆丰矿区、红星矿区以及洪泽盐盆的汪场矿区。估算了项目规模，盐穴地下储油库库区占地面积约</w:t>
      </w:r>
      <w:r w:rsidR="001814AA" w:rsidRPr="0079361A">
        <w:rPr>
          <w:rFonts w:ascii="Times New Roman" w:eastAsia="仿宋_GB2312" w:hAnsi="Times New Roman" w:cs="Times New Roman"/>
          <w:sz w:val="24"/>
          <w:szCs w:val="24"/>
        </w:rPr>
        <w:t>30</w:t>
      </w:r>
      <w:r w:rsidR="001814AA" w:rsidRPr="0079361A">
        <w:rPr>
          <w:rFonts w:ascii="Times New Roman" w:eastAsia="仿宋_GB2312" w:hAnsi="Times New Roman" w:cs="Times New Roman"/>
          <w:sz w:val="24"/>
          <w:szCs w:val="24"/>
        </w:rPr>
        <w:t>平方公里，储油</w:t>
      </w:r>
      <w:r w:rsidR="001814AA" w:rsidRPr="0079361A">
        <w:rPr>
          <w:rFonts w:ascii="Times New Roman" w:eastAsia="仿宋_GB2312" w:hAnsi="Times New Roman" w:cs="Times New Roman"/>
          <w:sz w:val="24"/>
          <w:szCs w:val="24"/>
        </w:rPr>
        <w:t>4200</w:t>
      </w:r>
      <w:r w:rsidR="001814AA" w:rsidRPr="0079361A">
        <w:rPr>
          <w:rFonts w:ascii="Times New Roman" w:eastAsia="仿宋_GB2312" w:hAnsi="Times New Roman" w:cs="Times New Roman"/>
          <w:sz w:val="24"/>
          <w:szCs w:val="24"/>
        </w:rPr>
        <w:t>万吨。</w:t>
      </w:r>
    </w:p>
    <w:p w:rsidR="00636F04" w:rsidRPr="00636F04" w:rsidRDefault="00636F04" w:rsidP="00636F04">
      <w:pPr>
        <w:spacing w:line="360" w:lineRule="auto"/>
        <w:ind w:firstLineChars="200" w:firstLine="420"/>
        <w:jc w:val="center"/>
        <w:rPr>
          <w:rFonts w:ascii="Times New Roman" w:eastAsia="楷体_GB2312" w:hAnsi="Times New Roman" w:cs="Times New Roman"/>
          <w:sz w:val="24"/>
        </w:rPr>
      </w:pPr>
      <w:r w:rsidRPr="00636F04">
        <w:rPr>
          <w:rFonts w:ascii="Times New Roman" w:eastAsia="宋体" w:hAnsi="Times New Roman" w:cs="Times New Roman"/>
          <w:noProof/>
        </w:rPr>
        <w:drawing>
          <wp:inline distT="0" distB="0" distL="0" distR="0" wp14:anchorId="24C34FF6" wp14:editId="73DF5C44">
            <wp:extent cx="4745892" cy="348935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国石油储备示意图.jpg"/>
                    <pic:cNvPicPr/>
                  </pic:nvPicPr>
                  <pic:blipFill rotWithShape="1">
                    <a:blip r:embed="rId17" cstate="print">
                      <a:extLst>
                        <a:ext uri="{28A0092B-C50C-407E-A947-70E740481C1C}">
                          <a14:useLocalDpi xmlns:a14="http://schemas.microsoft.com/office/drawing/2010/main" val="0"/>
                        </a:ext>
                      </a:extLst>
                    </a:blip>
                    <a:srcRect l="10610" t="-2009" r="7449" b="9758"/>
                    <a:stretch/>
                  </pic:blipFill>
                  <pic:spPr bwMode="auto">
                    <a:xfrm>
                      <a:off x="0" y="0"/>
                      <a:ext cx="4883788" cy="3590736"/>
                    </a:xfrm>
                    <a:prstGeom prst="rect">
                      <a:avLst/>
                    </a:prstGeom>
                    <a:ln>
                      <a:noFill/>
                    </a:ln>
                    <a:extLst>
                      <a:ext uri="{53640926-AAD7-44D8-BBD7-CCE9431645EC}">
                        <a14:shadowObscured xmlns:a14="http://schemas.microsoft.com/office/drawing/2010/main"/>
                      </a:ext>
                    </a:extLst>
                  </pic:spPr>
                </pic:pic>
              </a:graphicData>
            </a:graphic>
          </wp:inline>
        </w:drawing>
      </w:r>
    </w:p>
    <w:p w:rsidR="00636F04" w:rsidRPr="00572757" w:rsidRDefault="00636F04" w:rsidP="00572757">
      <w:pPr>
        <w:spacing w:line="360" w:lineRule="auto"/>
        <w:ind w:firstLineChars="200" w:firstLine="482"/>
        <w:jc w:val="center"/>
        <w:outlineLvl w:val="0"/>
        <w:rPr>
          <w:rFonts w:ascii="Times New Roman" w:eastAsia="仿宋_GB2312" w:hAnsi="Times New Roman" w:cs="Times New Roman"/>
          <w:b/>
          <w:sz w:val="24"/>
          <w:szCs w:val="24"/>
        </w:rPr>
      </w:pPr>
      <w:r w:rsidRPr="00572757">
        <w:rPr>
          <w:rFonts w:ascii="Times New Roman" w:eastAsia="仿宋_GB2312" w:hAnsi="Times New Roman" w:cs="Times New Roman"/>
          <w:b/>
          <w:sz w:val="24"/>
          <w:szCs w:val="24"/>
        </w:rPr>
        <w:t>图</w:t>
      </w:r>
      <w:r w:rsidR="00E10662" w:rsidRPr="00572757">
        <w:rPr>
          <w:rFonts w:ascii="Times New Roman" w:eastAsia="仿宋_GB2312" w:hAnsi="Times New Roman" w:cs="Times New Roman" w:hint="eastAsia"/>
          <w:b/>
          <w:sz w:val="24"/>
          <w:szCs w:val="24"/>
        </w:rPr>
        <w:t>11</w:t>
      </w:r>
      <w:r w:rsidR="00302BC8" w:rsidRPr="00572757">
        <w:rPr>
          <w:rFonts w:ascii="Times New Roman" w:eastAsia="仿宋_GB2312" w:hAnsi="Times New Roman" w:cs="Times New Roman" w:hint="eastAsia"/>
          <w:b/>
          <w:sz w:val="24"/>
          <w:szCs w:val="24"/>
        </w:rPr>
        <w:t xml:space="preserve">  </w:t>
      </w:r>
      <w:r w:rsidRPr="00572757">
        <w:rPr>
          <w:rFonts w:ascii="Times New Roman" w:eastAsia="仿宋_GB2312" w:hAnsi="Times New Roman" w:cs="Times New Roman"/>
          <w:b/>
          <w:sz w:val="24"/>
          <w:szCs w:val="24"/>
        </w:rPr>
        <w:t>利用盐腔储备石油示意图</w:t>
      </w:r>
    </w:p>
    <w:p w:rsidR="00A109F2" w:rsidRPr="00A109F2" w:rsidRDefault="00A109F2" w:rsidP="00A109F2">
      <w:pPr>
        <w:spacing w:line="360" w:lineRule="auto"/>
        <w:ind w:firstLineChars="200" w:firstLine="482"/>
        <w:rPr>
          <w:rFonts w:ascii="Times New Roman" w:eastAsia="仿宋_GB2312" w:hAnsi="Times New Roman" w:cs="Times New Roman"/>
          <w:b/>
          <w:sz w:val="24"/>
          <w:szCs w:val="24"/>
        </w:rPr>
      </w:pPr>
      <w:r>
        <w:rPr>
          <w:rFonts w:ascii="Times New Roman" w:eastAsia="仿宋_GB2312" w:hAnsi="Times New Roman" w:cs="Times New Roman" w:hint="eastAsia"/>
          <w:b/>
          <w:sz w:val="24"/>
          <w:szCs w:val="24"/>
        </w:rPr>
        <w:t>三、</w:t>
      </w:r>
      <w:r w:rsidRPr="00A109F2">
        <w:rPr>
          <w:rFonts w:ascii="Times New Roman" w:eastAsia="仿宋_GB2312" w:hAnsi="Times New Roman" w:cs="Times New Roman" w:hint="eastAsia"/>
          <w:b/>
          <w:sz w:val="24"/>
          <w:szCs w:val="24"/>
        </w:rPr>
        <w:t>采煤塌陷地综合治理</w:t>
      </w:r>
    </w:p>
    <w:p w:rsidR="00A109F2" w:rsidRPr="00A109F2" w:rsidRDefault="00A109F2" w:rsidP="00A109F2">
      <w:pPr>
        <w:spacing w:line="360" w:lineRule="auto"/>
        <w:ind w:firstLineChars="200" w:firstLine="480"/>
        <w:outlineLvl w:val="0"/>
        <w:rPr>
          <w:rFonts w:ascii="Times New Roman" w:eastAsia="仿宋_GB2312" w:hAnsi="Times New Roman" w:cs="Times New Roman"/>
          <w:sz w:val="24"/>
          <w:szCs w:val="24"/>
        </w:rPr>
      </w:pPr>
      <w:r w:rsidRPr="00A109F2">
        <w:rPr>
          <w:rFonts w:ascii="Times New Roman" w:eastAsia="仿宋_GB2312" w:hAnsi="Times New Roman" w:cs="Times New Roman" w:hint="eastAsia"/>
          <w:sz w:val="24"/>
          <w:szCs w:val="24"/>
        </w:rPr>
        <w:t>沛县矿地融合示范区安国镇采煤塌陷地综合治理示范</w:t>
      </w:r>
      <w:r w:rsidRPr="00A109F2">
        <w:rPr>
          <w:rFonts w:ascii="Times New Roman" w:eastAsia="仿宋_GB2312" w:hAnsi="Times New Roman" w:cs="Times New Roman" w:hint="eastAsia"/>
          <w:sz w:val="24"/>
          <w:szCs w:val="24"/>
        </w:rPr>
        <w:t>项目基于“基于地质、因地制宜、系统修复”的原则，秉承“山水林田湖草”系统理论，以自然为主，宜林则林、宜塘则塘、宜地则地，注重原生态。新增湿地</w:t>
      </w:r>
      <w:r w:rsidRPr="00A109F2">
        <w:rPr>
          <w:rFonts w:ascii="Times New Roman" w:eastAsia="仿宋_GB2312" w:hAnsi="Times New Roman" w:cs="Times New Roman" w:hint="eastAsia"/>
          <w:sz w:val="24"/>
          <w:szCs w:val="24"/>
        </w:rPr>
        <w:t>220</w:t>
      </w:r>
      <w:r w:rsidRPr="00A109F2">
        <w:rPr>
          <w:rFonts w:ascii="Times New Roman" w:eastAsia="仿宋_GB2312" w:hAnsi="Times New Roman" w:cs="Times New Roman" w:hint="eastAsia"/>
          <w:sz w:val="24"/>
          <w:szCs w:val="24"/>
        </w:rPr>
        <w:t>亩，复垦土地</w:t>
      </w:r>
      <w:r w:rsidRPr="00A109F2">
        <w:rPr>
          <w:rFonts w:ascii="Times New Roman" w:eastAsia="仿宋_GB2312" w:hAnsi="Times New Roman" w:cs="Times New Roman" w:hint="eastAsia"/>
          <w:sz w:val="24"/>
          <w:szCs w:val="24"/>
        </w:rPr>
        <w:t>110</w:t>
      </w:r>
      <w:r w:rsidRPr="00A109F2">
        <w:rPr>
          <w:rFonts w:ascii="Times New Roman" w:eastAsia="仿宋_GB2312" w:hAnsi="Times New Roman" w:cs="Times New Roman" w:hint="eastAsia"/>
          <w:sz w:val="24"/>
          <w:szCs w:val="24"/>
        </w:rPr>
        <w:t>亩，打造林地</w:t>
      </w:r>
      <w:r w:rsidRPr="00A109F2">
        <w:rPr>
          <w:rFonts w:ascii="Times New Roman" w:eastAsia="仿宋_GB2312" w:hAnsi="Times New Roman" w:cs="Times New Roman" w:hint="eastAsia"/>
          <w:sz w:val="24"/>
          <w:szCs w:val="24"/>
        </w:rPr>
        <w:t>70</w:t>
      </w:r>
      <w:r w:rsidRPr="00A109F2">
        <w:rPr>
          <w:rFonts w:ascii="Times New Roman" w:eastAsia="仿宋_GB2312" w:hAnsi="Times New Roman" w:cs="Times New Roman" w:hint="eastAsia"/>
          <w:sz w:val="24"/>
          <w:szCs w:val="24"/>
        </w:rPr>
        <w:t>亩、绿化边坡</w:t>
      </w:r>
      <w:r w:rsidRPr="00A109F2">
        <w:rPr>
          <w:rFonts w:ascii="Times New Roman" w:eastAsia="仿宋_GB2312" w:hAnsi="Times New Roman" w:cs="Times New Roman" w:hint="eastAsia"/>
          <w:sz w:val="24"/>
          <w:szCs w:val="24"/>
        </w:rPr>
        <w:t>180</w:t>
      </w:r>
      <w:r w:rsidRPr="00A109F2">
        <w:rPr>
          <w:rFonts w:ascii="Times New Roman" w:eastAsia="仿宋_GB2312" w:hAnsi="Times New Roman" w:cs="Times New Roman" w:hint="eastAsia"/>
          <w:sz w:val="24"/>
          <w:szCs w:val="24"/>
        </w:rPr>
        <w:t>亩，打造了采煤塌陷地治理的“沛县模式”。</w:t>
      </w:r>
    </w:p>
    <w:p w:rsidR="00A109F2" w:rsidRDefault="00A109F2" w:rsidP="00A109F2">
      <w:pPr>
        <w:spacing w:line="560" w:lineRule="exact"/>
        <w:ind w:firstLineChars="200" w:firstLine="560"/>
        <w:contextualSpacing/>
        <w:rPr>
          <w:rFonts w:ascii="宋体" w:hAnsi="宋体"/>
          <w:sz w:val="28"/>
          <w:szCs w:val="28"/>
        </w:rPr>
      </w:pPr>
      <w:bookmarkStart w:id="1" w:name="_GoBack"/>
      <w:bookmarkEnd w:id="1"/>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00"/>
        <w:gridCol w:w="4200"/>
      </w:tblGrid>
      <w:tr w:rsidR="00A109F2" w:rsidTr="001F21F7">
        <w:trPr>
          <w:jc w:val="center"/>
        </w:trPr>
        <w:tc>
          <w:tcPr>
            <w:tcW w:w="4200" w:type="dxa"/>
            <w:vAlign w:val="center"/>
          </w:tcPr>
          <w:p w:rsidR="00A109F2" w:rsidRDefault="00A109F2" w:rsidP="001F21F7">
            <w:pPr>
              <w:jc w:val="center"/>
            </w:pPr>
            <w:r>
              <w:rPr>
                <w:rFonts w:hint="eastAsia"/>
                <w:noProof/>
              </w:rPr>
              <w:lastRenderedPageBreak/>
              <w:drawing>
                <wp:inline distT="0" distB="0" distL="114300" distR="114300" wp14:anchorId="3BFF2972" wp14:editId="46E5DA2C">
                  <wp:extent cx="2520315" cy="1417320"/>
                  <wp:effectExtent l="0" t="0" r="9525" b="0"/>
                  <wp:docPr id="8" name="图片 8" descr="org_ae333983610e4da7_157276586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org_ae333983610e4da7_1572765868000"/>
                          <pic:cNvPicPr>
                            <a:picLocks noChangeAspect="1"/>
                          </pic:cNvPicPr>
                        </pic:nvPicPr>
                        <pic:blipFill>
                          <a:blip r:embed="rId18"/>
                          <a:stretch>
                            <a:fillRect/>
                          </a:stretch>
                        </pic:blipFill>
                        <pic:spPr>
                          <a:xfrm>
                            <a:off x="0" y="0"/>
                            <a:ext cx="2520315" cy="1417320"/>
                          </a:xfrm>
                          <a:prstGeom prst="rect">
                            <a:avLst/>
                          </a:prstGeom>
                        </pic:spPr>
                      </pic:pic>
                    </a:graphicData>
                  </a:graphic>
                </wp:inline>
              </w:drawing>
            </w:r>
          </w:p>
        </w:tc>
        <w:tc>
          <w:tcPr>
            <w:tcW w:w="4200" w:type="dxa"/>
            <w:vAlign w:val="center"/>
          </w:tcPr>
          <w:p w:rsidR="00A109F2" w:rsidRDefault="00A109F2" w:rsidP="001F21F7">
            <w:pPr>
              <w:jc w:val="center"/>
            </w:pPr>
            <w:r>
              <w:rPr>
                <w:rFonts w:hint="eastAsia"/>
                <w:noProof/>
              </w:rPr>
              <w:drawing>
                <wp:inline distT="0" distB="0" distL="114300" distR="114300" wp14:anchorId="7AEFA911" wp14:editId="5735DE45">
                  <wp:extent cx="2501900" cy="1407160"/>
                  <wp:effectExtent l="0" t="0" r="12700" b="10160"/>
                  <wp:docPr id="15" name="图片 15" descr="org_0a3e21567be041fa_157527497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org_0a3e21567be041fa_1575274974000"/>
                          <pic:cNvPicPr>
                            <a:picLocks noChangeAspect="1"/>
                          </pic:cNvPicPr>
                        </pic:nvPicPr>
                        <pic:blipFill>
                          <a:blip r:embed="rId19"/>
                          <a:stretch>
                            <a:fillRect/>
                          </a:stretch>
                        </pic:blipFill>
                        <pic:spPr>
                          <a:xfrm>
                            <a:off x="0" y="0"/>
                            <a:ext cx="2501900" cy="1407160"/>
                          </a:xfrm>
                          <a:prstGeom prst="rect">
                            <a:avLst/>
                          </a:prstGeom>
                        </pic:spPr>
                      </pic:pic>
                    </a:graphicData>
                  </a:graphic>
                </wp:inline>
              </w:drawing>
            </w:r>
          </w:p>
        </w:tc>
      </w:tr>
      <w:tr w:rsidR="00A109F2" w:rsidTr="001F21F7">
        <w:trPr>
          <w:jc w:val="center"/>
        </w:trPr>
        <w:tc>
          <w:tcPr>
            <w:tcW w:w="4200" w:type="dxa"/>
            <w:vAlign w:val="center"/>
          </w:tcPr>
          <w:p w:rsidR="00A109F2" w:rsidRDefault="00A109F2" w:rsidP="001F21F7">
            <w:pPr>
              <w:jc w:val="center"/>
            </w:pPr>
            <w:r>
              <w:rPr>
                <w:rFonts w:hint="eastAsia"/>
              </w:rPr>
              <w:t>2019</w:t>
            </w:r>
            <w:r>
              <w:rPr>
                <w:rFonts w:hint="eastAsia"/>
              </w:rPr>
              <w:t>年</w:t>
            </w:r>
            <w:r>
              <w:rPr>
                <w:rFonts w:hint="eastAsia"/>
              </w:rPr>
              <w:t>9</w:t>
            </w:r>
            <w:r>
              <w:rPr>
                <w:rFonts w:hint="eastAsia"/>
              </w:rPr>
              <w:t>月拍摄</w:t>
            </w:r>
          </w:p>
        </w:tc>
        <w:tc>
          <w:tcPr>
            <w:tcW w:w="4200" w:type="dxa"/>
            <w:vAlign w:val="center"/>
          </w:tcPr>
          <w:p w:rsidR="00A109F2" w:rsidRDefault="00A109F2" w:rsidP="001F21F7">
            <w:pPr>
              <w:jc w:val="center"/>
            </w:pPr>
            <w:r>
              <w:rPr>
                <w:rFonts w:hint="eastAsia"/>
              </w:rPr>
              <w:t>2019</w:t>
            </w:r>
            <w:r>
              <w:rPr>
                <w:rFonts w:hint="eastAsia"/>
              </w:rPr>
              <w:t>年</w:t>
            </w:r>
            <w:r>
              <w:rPr>
                <w:rFonts w:hint="eastAsia"/>
              </w:rPr>
              <w:t>12</w:t>
            </w:r>
            <w:r>
              <w:rPr>
                <w:rFonts w:hint="eastAsia"/>
              </w:rPr>
              <w:t>月拍摄</w:t>
            </w:r>
          </w:p>
        </w:tc>
      </w:tr>
      <w:tr w:rsidR="00A109F2" w:rsidTr="001F21F7">
        <w:trPr>
          <w:jc w:val="center"/>
        </w:trPr>
        <w:tc>
          <w:tcPr>
            <w:tcW w:w="4200" w:type="dxa"/>
            <w:vAlign w:val="center"/>
          </w:tcPr>
          <w:p w:rsidR="00A109F2" w:rsidRDefault="00A109F2" w:rsidP="001F21F7">
            <w:pPr>
              <w:jc w:val="center"/>
            </w:pPr>
            <w:r>
              <w:rPr>
                <w:noProof/>
              </w:rPr>
              <w:drawing>
                <wp:inline distT="0" distB="0" distL="0" distR="0" wp14:anchorId="489CE8E3" wp14:editId="469F34EA">
                  <wp:extent cx="2519680" cy="1447165"/>
                  <wp:effectExtent l="0" t="0" r="1016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t="2208" r="2080" b="2208"/>
                          <a:stretch>
                            <a:fillRect/>
                          </a:stretch>
                        </pic:blipFill>
                        <pic:spPr>
                          <a:xfrm>
                            <a:off x="0" y="0"/>
                            <a:ext cx="2520000" cy="1447604"/>
                          </a:xfrm>
                          <a:prstGeom prst="rect">
                            <a:avLst/>
                          </a:prstGeom>
                          <a:noFill/>
                          <a:ln>
                            <a:noFill/>
                          </a:ln>
                        </pic:spPr>
                      </pic:pic>
                    </a:graphicData>
                  </a:graphic>
                </wp:inline>
              </w:drawing>
            </w:r>
          </w:p>
        </w:tc>
        <w:tc>
          <w:tcPr>
            <w:tcW w:w="4200" w:type="dxa"/>
            <w:vAlign w:val="center"/>
          </w:tcPr>
          <w:p w:rsidR="00A109F2" w:rsidRDefault="00A109F2" w:rsidP="001F21F7">
            <w:pPr>
              <w:jc w:val="center"/>
            </w:pPr>
            <w:r>
              <w:rPr>
                <w:noProof/>
              </w:rPr>
              <w:drawing>
                <wp:inline distT="0" distB="0" distL="0" distR="0" wp14:anchorId="64BDD6CA" wp14:editId="61E5DECB">
                  <wp:extent cx="2519680" cy="1417320"/>
                  <wp:effectExtent l="0" t="0" r="1016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t="4401" b="4401"/>
                          <a:stretch>
                            <a:fillRect/>
                          </a:stretch>
                        </pic:blipFill>
                        <pic:spPr>
                          <a:xfrm>
                            <a:off x="0" y="0"/>
                            <a:ext cx="2520000" cy="1417500"/>
                          </a:xfrm>
                          <a:prstGeom prst="rect">
                            <a:avLst/>
                          </a:prstGeom>
                          <a:noFill/>
                          <a:ln>
                            <a:noFill/>
                          </a:ln>
                        </pic:spPr>
                      </pic:pic>
                    </a:graphicData>
                  </a:graphic>
                </wp:inline>
              </w:drawing>
            </w:r>
          </w:p>
        </w:tc>
      </w:tr>
      <w:tr w:rsidR="00A109F2" w:rsidTr="001F21F7">
        <w:trPr>
          <w:jc w:val="center"/>
        </w:trPr>
        <w:tc>
          <w:tcPr>
            <w:tcW w:w="4200" w:type="dxa"/>
            <w:vAlign w:val="center"/>
          </w:tcPr>
          <w:p w:rsidR="00A109F2" w:rsidRDefault="00A109F2" w:rsidP="001F21F7">
            <w:pPr>
              <w:jc w:val="center"/>
            </w:pPr>
            <w:r>
              <w:rPr>
                <w:rFonts w:hint="eastAsia"/>
              </w:rPr>
              <w:t>2019</w:t>
            </w:r>
            <w:r>
              <w:rPr>
                <w:rFonts w:hint="eastAsia"/>
              </w:rPr>
              <w:t>年</w:t>
            </w:r>
            <w:r>
              <w:rPr>
                <w:rFonts w:hint="eastAsia"/>
              </w:rPr>
              <w:t>9</w:t>
            </w:r>
            <w:r>
              <w:rPr>
                <w:rFonts w:hint="eastAsia"/>
              </w:rPr>
              <w:t>月拍摄</w:t>
            </w:r>
          </w:p>
        </w:tc>
        <w:tc>
          <w:tcPr>
            <w:tcW w:w="4200" w:type="dxa"/>
            <w:vAlign w:val="center"/>
          </w:tcPr>
          <w:p w:rsidR="00A109F2" w:rsidRDefault="00A109F2" w:rsidP="001F21F7">
            <w:pPr>
              <w:jc w:val="center"/>
            </w:pPr>
            <w:r>
              <w:rPr>
                <w:rFonts w:hint="eastAsia"/>
              </w:rPr>
              <w:t>2020</w:t>
            </w:r>
            <w:r>
              <w:rPr>
                <w:rFonts w:hint="eastAsia"/>
              </w:rPr>
              <w:t>年</w:t>
            </w:r>
            <w:r>
              <w:rPr>
                <w:rFonts w:hint="eastAsia"/>
              </w:rPr>
              <w:t>4</w:t>
            </w:r>
            <w:r>
              <w:rPr>
                <w:rFonts w:hint="eastAsia"/>
              </w:rPr>
              <w:t>月拍摄</w:t>
            </w:r>
          </w:p>
        </w:tc>
      </w:tr>
    </w:tbl>
    <w:p w:rsidR="00A109F2" w:rsidRPr="00A109F2" w:rsidRDefault="00A109F2" w:rsidP="00A109F2">
      <w:pPr>
        <w:spacing w:line="360" w:lineRule="auto"/>
        <w:ind w:firstLineChars="200" w:firstLine="482"/>
        <w:rPr>
          <w:rFonts w:ascii="Times New Roman" w:eastAsia="仿宋_GB2312" w:hAnsi="Times New Roman" w:cs="Times New Roman"/>
          <w:b/>
          <w:sz w:val="24"/>
          <w:szCs w:val="24"/>
        </w:rPr>
      </w:pPr>
      <w:r w:rsidRPr="00A109F2">
        <w:rPr>
          <w:rFonts w:ascii="Times New Roman" w:eastAsia="仿宋_GB2312" w:hAnsi="Times New Roman" w:cs="Times New Roman" w:hint="eastAsia"/>
          <w:b/>
          <w:sz w:val="24"/>
          <w:szCs w:val="24"/>
        </w:rPr>
        <w:t>四、</w:t>
      </w:r>
      <w:r w:rsidRPr="00A109F2">
        <w:rPr>
          <w:rFonts w:ascii="Times New Roman" w:eastAsia="仿宋_GB2312" w:hAnsi="Times New Roman" w:cs="Times New Roman" w:hint="eastAsia"/>
          <w:b/>
          <w:sz w:val="24"/>
          <w:szCs w:val="24"/>
        </w:rPr>
        <w:t>滨海盐碱地水旱改良</w:t>
      </w:r>
    </w:p>
    <w:p w:rsidR="00A109F2" w:rsidRPr="00A109F2" w:rsidRDefault="00A109F2" w:rsidP="00A109F2">
      <w:pPr>
        <w:spacing w:line="360" w:lineRule="auto"/>
        <w:ind w:firstLineChars="200" w:firstLine="480"/>
        <w:outlineLvl w:val="0"/>
        <w:rPr>
          <w:rFonts w:ascii="Times New Roman" w:eastAsia="仿宋_GB2312" w:hAnsi="Times New Roman" w:cs="Times New Roman"/>
          <w:sz w:val="24"/>
          <w:szCs w:val="24"/>
        </w:rPr>
      </w:pPr>
      <w:r w:rsidRPr="00A109F2">
        <w:rPr>
          <w:rFonts w:ascii="Times New Roman" w:eastAsia="仿宋_GB2312" w:hAnsi="Times New Roman" w:cs="Times New Roman" w:hint="eastAsia"/>
          <w:sz w:val="24"/>
          <w:szCs w:val="24"/>
        </w:rPr>
        <w:t>南通滨海盐碱地水旱改良矿地融合示范</w:t>
      </w:r>
      <w:r w:rsidRPr="00A109F2">
        <w:rPr>
          <w:rFonts w:ascii="Times New Roman" w:eastAsia="仿宋_GB2312" w:hAnsi="Times New Roman" w:cs="Times New Roman" w:hint="eastAsia"/>
          <w:sz w:val="24"/>
          <w:szCs w:val="24"/>
        </w:rPr>
        <w:t>项目选择典型滨海盐碱地，运用地质调查监测和改良手段，结合农艺措施，开展水旱轮作改良示范，实施盐碱化治理，建成标准化示范区</w:t>
      </w:r>
      <w:r w:rsidRPr="00A109F2">
        <w:rPr>
          <w:rFonts w:ascii="Times New Roman" w:eastAsia="仿宋_GB2312" w:hAnsi="Times New Roman" w:cs="Times New Roman" w:hint="eastAsia"/>
          <w:sz w:val="24"/>
          <w:szCs w:val="24"/>
        </w:rPr>
        <w:t>521</w:t>
      </w:r>
      <w:r w:rsidRPr="00A109F2">
        <w:rPr>
          <w:rFonts w:ascii="Times New Roman" w:eastAsia="仿宋_GB2312" w:hAnsi="Times New Roman" w:cs="Times New Roman" w:hint="eastAsia"/>
          <w:sz w:val="24"/>
          <w:szCs w:val="24"/>
        </w:rPr>
        <w:t>亩，改良盐碱地</w:t>
      </w:r>
      <w:r w:rsidRPr="00A109F2">
        <w:rPr>
          <w:rFonts w:ascii="Times New Roman" w:eastAsia="仿宋_GB2312" w:hAnsi="Times New Roman" w:cs="Times New Roman" w:hint="eastAsia"/>
          <w:sz w:val="24"/>
          <w:szCs w:val="24"/>
        </w:rPr>
        <w:t>420</w:t>
      </w:r>
      <w:r w:rsidRPr="00A109F2">
        <w:rPr>
          <w:rFonts w:ascii="Times New Roman" w:eastAsia="仿宋_GB2312" w:hAnsi="Times New Roman" w:cs="Times New Roman" w:hint="eastAsia"/>
          <w:sz w:val="24"/>
          <w:szCs w:val="24"/>
        </w:rPr>
        <w:t>亩，土壤有机质提升至</w:t>
      </w:r>
      <w:r w:rsidRPr="00A109F2">
        <w:rPr>
          <w:rFonts w:ascii="Times New Roman" w:eastAsia="仿宋_GB2312" w:hAnsi="Times New Roman" w:cs="Times New Roman" w:hint="eastAsia"/>
          <w:sz w:val="24"/>
          <w:szCs w:val="24"/>
        </w:rPr>
        <w:t>6</w:t>
      </w:r>
      <w:r w:rsidRPr="00A109F2">
        <w:rPr>
          <w:rFonts w:ascii="Times New Roman" w:eastAsia="仿宋_GB2312" w:hAnsi="Times New Roman" w:cs="Times New Roman" w:hint="eastAsia"/>
          <w:sz w:val="24"/>
          <w:szCs w:val="24"/>
        </w:rPr>
        <w:t>‰以上，盐度降低至</w:t>
      </w:r>
      <w:r w:rsidRPr="00A109F2">
        <w:rPr>
          <w:rFonts w:ascii="Times New Roman" w:eastAsia="仿宋_GB2312" w:hAnsi="Times New Roman" w:cs="Times New Roman" w:hint="eastAsia"/>
          <w:sz w:val="24"/>
          <w:szCs w:val="24"/>
        </w:rPr>
        <w:t>3</w:t>
      </w:r>
      <w:r w:rsidRPr="00A109F2">
        <w:rPr>
          <w:rFonts w:ascii="Times New Roman" w:eastAsia="仿宋_GB2312" w:hAnsi="Times New Roman" w:cs="Times New Roman" w:hint="eastAsia"/>
          <w:sz w:val="24"/>
          <w:szCs w:val="24"/>
        </w:rPr>
        <w:t>‰以下，将贫瘠的荒滩变为宝地，有效促进进了国土资源数量、质量、生态“三位一体”的综合管理。</w:t>
      </w:r>
    </w:p>
    <w:p w:rsidR="00A109F2" w:rsidRDefault="00A109F2" w:rsidP="00A109F2">
      <w:pPr>
        <w:widowControl/>
        <w:jc w:val="center"/>
      </w:pPr>
      <w:r>
        <w:rPr>
          <w:noProof/>
        </w:rPr>
        <w:drawing>
          <wp:inline distT="0" distB="0" distL="114300" distR="114300" wp14:anchorId="4AA102AA" wp14:editId="1DF00356">
            <wp:extent cx="2426335" cy="3075305"/>
            <wp:effectExtent l="0" t="0" r="12065" b="3175"/>
            <wp:docPr id="16" name="图片 1" descr="C681E457738AEDD69572366D7FDFD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681E457738AEDD69572366D7FDFDFAD"/>
                    <pic:cNvPicPr>
                      <a:picLocks noChangeAspect="1"/>
                    </pic:cNvPicPr>
                  </pic:nvPicPr>
                  <pic:blipFill>
                    <a:blip r:embed="rId22"/>
                    <a:stretch>
                      <a:fillRect/>
                    </a:stretch>
                  </pic:blipFill>
                  <pic:spPr>
                    <a:xfrm>
                      <a:off x="0" y="0"/>
                      <a:ext cx="2426335" cy="3075305"/>
                    </a:xfrm>
                    <a:prstGeom prst="rect">
                      <a:avLst/>
                    </a:prstGeom>
                    <a:noFill/>
                    <a:ln>
                      <a:noFill/>
                    </a:ln>
                  </pic:spPr>
                </pic:pic>
              </a:graphicData>
            </a:graphic>
          </wp:inline>
        </w:drawing>
      </w:r>
      <w:r>
        <w:rPr>
          <w:rFonts w:hint="eastAsia"/>
          <w:noProof/>
        </w:rPr>
        <w:drawing>
          <wp:inline distT="0" distB="0" distL="114300" distR="114300" wp14:anchorId="1BBCA9F9" wp14:editId="2FD183FC">
            <wp:extent cx="2726055" cy="3068320"/>
            <wp:effectExtent l="0" t="0" r="1905" b="10160"/>
            <wp:docPr id="17" name="图片 2" descr="38B8EF3B8472964EF5C96480DA883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38B8EF3B8472964EF5C96480DA88361A"/>
                    <pic:cNvPicPr>
                      <a:picLocks noChangeAspect="1"/>
                    </pic:cNvPicPr>
                  </pic:nvPicPr>
                  <pic:blipFill>
                    <a:blip r:embed="rId23"/>
                    <a:stretch>
                      <a:fillRect/>
                    </a:stretch>
                  </pic:blipFill>
                  <pic:spPr>
                    <a:xfrm>
                      <a:off x="0" y="0"/>
                      <a:ext cx="2726055" cy="3068320"/>
                    </a:xfrm>
                    <a:prstGeom prst="rect">
                      <a:avLst/>
                    </a:prstGeom>
                    <a:noFill/>
                    <a:ln>
                      <a:noFill/>
                    </a:ln>
                  </pic:spPr>
                </pic:pic>
              </a:graphicData>
            </a:graphic>
          </wp:inline>
        </w:drawing>
      </w:r>
    </w:p>
    <w:p w:rsidR="00A109F2" w:rsidRDefault="00A109F2" w:rsidP="00A109F2">
      <w:pPr>
        <w:spacing w:line="360" w:lineRule="auto"/>
        <w:ind w:firstLineChars="500" w:firstLine="1050"/>
        <w:rPr>
          <w:b/>
          <w:sz w:val="18"/>
          <w:szCs w:val="18"/>
        </w:rPr>
      </w:pPr>
      <w:r>
        <w:rPr>
          <w:rFonts w:hint="eastAsia"/>
        </w:rPr>
        <w:t>2019</w:t>
      </w:r>
      <w:r>
        <w:rPr>
          <w:rFonts w:hint="eastAsia"/>
        </w:rPr>
        <w:t>年</w:t>
      </w:r>
      <w:r>
        <w:rPr>
          <w:rFonts w:hint="eastAsia"/>
        </w:rPr>
        <w:t>1</w:t>
      </w:r>
      <w:r>
        <w:rPr>
          <w:rFonts w:hint="eastAsia"/>
        </w:rPr>
        <w:t>月拍摄</w:t>
      </w:r>
      <w:r>
        <w:rPr>
          <w:rFonts w:hint="eastAsia"/>
        </w:rPr>
        <w:t xml:space="preserve">                         2019</w:t>
      </w:r>
      <w:r>
        <w:rPr>
          <w:rFonts w:hint="eastAsia"/>
        </w:rPr>
        <w:t>年</w:t>
      </w:r>
      <w:r>
        <w:rPr>
          <w:rFonts w:hint="eastAsia"/>
        </w:rPr>
        <w:t>10</w:t>
      </w:r>
      <w:r>
        <w:rPr>
          <w:rFonts w:hint="eastAsia"/>
        </w:rPr>
        <w:t>月拍摄</w:t>
      </w:r>
    </w:p>
    <w:p w:rsidR="00A109F2" w:rsidRDefault="00A109F2" w:rsidP="00A109F2">
      <w:pPr>
        <w:spacing w:line="560" w:lineRule="exact"/>
        <w:ind w:firstLineChars="200" w:firstLine="560"/>
        <w:contextualSpacing/>
        <w:rPr>
          <w:sz w:val="28"/>
          <w:szCs w:val="28"/>
        </w:rPr>
      </w:pPr>
    </w:p>
    <w:p w:rsidR="00A109F2" w:rsidRPr="0079361A" w:rsidRDefault="00A109F2" w:rsidP="0079361A">
      <w:pPr>
        <w:pStyle w:val="a8"/>
        <w:spacing w:line="360" w:lineRule="auto"/>
        <w:ind w:firstLine="480"/>
        <w:rPr>
          <w:rFonts w:ascii="Times New Roman" w:eastAsia="仿宋_GB2312" w:hAnsi="Times New Roman" w:cs="Times New Roman" w:hint="eastAsia"/>
          <w:sz w:val="24"/>
          <w:szCs w:val="24"/>
        </w:rPr>
      </w:pPr>
    </w:p>
    <w:sectPr w:rsidR="00A109F2" w:rsidRPr="0079361A" w:rsidSect="00976489">
      <w:footerReference w:type="default" r:id="rId24"/>
      <w:pgSz w:w="11906" w:h="16838" w:code="9"/>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033" w:rsidRDefault="00956033" w:rsidP="00C33385">
      <w:r>
        <w:separator/>
      </w:r>
    </w:p>
  </w:endnote>
  <w:endnote w:type="continuationSeparator" w:id="0">
    <w:p w:rsidR="00956033" w:rsidRDefault="00956033" w:rsidP="00C33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0769"/>
      <w:docPartObj>
        <w:docPartGallery w:val="Page Numbers (Bottom of Page)"/>
        <w:docPartUnique/>
      </w:docPartObj>
    </w:sdtPr>
    <w:sdtEndPr/>
    <w:sdtContent>
      <w:p w:rsidR="00976489" w:rsidRDefault="00CB67F9">
        <w:pPr>
          <w:pStyle w:val="ab"/>
          <w:jc w:val="center"/>
        </w:pPr>
        <w:r>
          <w:fldChar w:fldCharType="begin"/>
        </w:r>
        <w:r>
          <w:instrText xml:space="preserve"> PAGE   \* MERGEFORMAT </w:instrText>
        </w:r>
        <w:r>
          <w:fldChar w:fldCharType="separate"/>
        </w:r>
        <w:r w:rsidR="00A109F2" w:rsidRPr="00A109F2">
          <w:rPr>
            <w:noProof/>
            <w:lang w:val="zh-CN"/>
          </w:rPr>
          <w:t>4</w:t>
        </w:r>
        <w:r>
          <w:rPr>
            <w:noProof/>
            <w:lang w:val="zh-CN"/>
          </w:rPr>
          <w:fldChar w:fldCharType="end"/>
        </w:r>
      </w:p>
    </w:sdtContent>
  </w:sdt>
  <w:p w:rsidR="00976489" w:rsidRDefault="0097648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033" w:rsidRDefault="00956033" w:rsidP="00C33385">
      <w:r>
        <w:separator/>
      </w:r>
    </w:p>
  </w:footnote>
  <w:footnote w:type="continuationSeparator" w:id="0">
    <w:p w:rsidR="00956033" w:rsidRDefault="00956033" w:rsidP="00C333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90122"/>
    <w:rsid w:val="00003230"/>
    <w:rsid w:val="00022DA7"/>
    <w:rsid w:val="000856E1"/>
    <w:rsid w:val="000B6A6B"/>
    <w:rsid w:val="000D25B1"/>
    <w:rsid w:val="000F18E9"/>
    <w:rsid w:val="001814AA"/>
    <w:rsid w:val="001F04F3"/>
    <w:rsid w:val="00266695"/>
    <w:rsid w:val="00296653"/>
    <w:rsid w:val="002C505E"/>
    <w:rsid w:val="002F399D"/>
    <w:rsid w:val="002F6B92"/>
    <w:rsid w:val="00302BC8"/>
    <w:rsid w:val="00333189"/>
    <w:rsid w:val="00340049"/>
    <w:rsid w:val="00375A8B"/>
    <w:rsid w:val="0038073F"/>
    <w:rsid w:val="003918F2"/>
    <w:rsid w:val="003A0050"/>
    <w:rsid w:val="003A6AD8"/>
    <w:rsid w:val="003B0DCD"/>
    <w:rsid w:val="00454A71"/>
    <w:rsid w:val="00472205"/>
    <w:rsid w:val="004B75B8"/>
    <w:rsid w:val="00523EF5"/>
    <w:rsid w:val="00547FCE"/>
    <w:rsid w:val="00572757"/>
    <w:rsid w:val="00585A74"/>
    <w:rsid w:val="005A1034"/>
    <w:rsid w:val="005B40D7"/>
    <w:rsid w:val="00615AE7"/>
    <w:rsid w:val="00636F04"/>
    <w:rsid w:val="006827D1"/>
    <w:rsid w:val="006C2158"/>
    <w:rsid w:val="006C6415"/>
    <w:rsid w:val="007547FD"/>
    <w:rsid w:val="00764CEF"/>
    <w:rsid w:val="00784368"/>
    <w:rsid w:val="0079361A"/>
    <w:rsid w:val="007A0192"/>
    <w:rsid w:val="008107C5"/>
    <w:rsid w:val="008140D9"/>
    <w:rsid w:val="008401BC"/>
    <w:rsid w:val="00846847"/>
    <w:rsid w:val="008824CE"/>
    <w:rsid w:val="008D455C"/>
    <w:rsid w:val="008D4C2F"/>
    <w:rsid w:val="008E2627"/>
    <w:rsid w:val="00900F22"/>
    <w:rsid w:val="00956033"/>
    <w:rsid w:val="009666D0"/>
    <w:rsid w:val="00976489"/>
    <w:rsid w:val="009974B9"/>
    <w:rsid w:val="009D1B07"/>
    <w:rsid w:val="009E4CF6"/>
    <w:rsid w:val="00A046EE"/>
    <w:rsid w:val="00A109F2"/>
    <w:rsid w:val="00A204F4"/>
    <w:rsid w:val="00A40ED5"/>
    <w:rsid w:val="00A67BC0"/>
    <w:rsid w:val="00A72611"/>
    <w:rsid w:val="00AC4155"/>
    <w:rsid w:val="00AD3CA0"/>
    <w:rsid w:val="00AD6EB8"/>
    <w:rsid w:val="00B23F87"/>
    <w:rsid w:val="00B43415"/>
    <w:rsid w:val="00B5598D"/>
    <w:rsid w:val="00B8012B"/>
    <w:rsid w:val="00BC0CDE"/>
    <w:rsid w:val="00BD4996"/>
    <w:rsid w:val="00C33385"/>
    <w:rsid w:val="00C470EB"/>
    <w:rsid w:val="00C51F8A"/>
    <w:rsid w:val="00C533C8"/>
    <w:rsid w:val="00C552AC"/>
    <w:rsid w:val="00C61B7D"/>
    <w:rsid w:val="00C66093"/>
    <w:rsid w:val="00C66548"/>
    <w:rsid w:val="00C92237"/>
    <w:rsid w:val="00CB67F9"/>
    <w:rsid w:val="00D314FF"/>
    <w:rsid w:val="00D45F3E"/>
    <w:rsid w:val="00D508C6"/>
    <w:rsid w:val="00D74D14"/>
    <w:rsid w:val="00DB79F3"/>
    <w:rsid w:val="00E033B3"/>
    <w:rsid w:val="00E10662"/>
    <w:rsid w:val="00E50119"/>
    <w:rsid w:val="00E90122"/>
    <w:rsid w:val="00EF0652"/>
    <w:rsid w:val="00F11803"/>
    <w:rsid w:val="00FA19E9"/>
    <w:rsid w:val="00FC41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D06BD"/>
  <w15:docId w15:val="{C9EC7997-41F9-4DA9-8873-C7DAB7E50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F22"/>
    <w:pPr>
      <w:widowControl w:val="0"/>
      <w:jc w:val="both"/>
    </w:pPr>
  </w:style>
  <w:style w:type="paragraph" w:styleId="2">
    <w:name w:val="heading 2"/>
    <w:basedOn w:val="a"/>
    <w:next w:val="a"/>
    <w:link w:val="20"/>
    <w:qFormat/>
    <w:rsid w:val="008401BC"/>
    <w:pPr>
      <w:keepNext/>
      <w:keepLines/>
      <w:spacing w:before="260" w:after="260" w:line="416" w:lineRule="auto"/>
      <w:outlineLvl w:val="1"/>
    </w:pPr>
    <w:rPr>
      <w:rFonts w:ascii="Arial" w:eastAsia="黑体" w:hAnsi="Arial"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A0192"/>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a5"/>
    <w:uiPriority w:val="99"/>
    <w:semiHidden/>
    <w:unhideWhenUsed/>
    <w:rsid w:val="007A0192"/>
    <w:rPr>
      <w:sz w:val="18"/>
      <w:szCs w:val="18"/>
    </w:rPr>
  </w:style>
  <w:style w:type="character" w:customStyle="1" w:styleId="a5">
    <w:name w:val="批注框文本 字符"/>
    <w:basedOn w:val="a0"/>
    <w:link w:val="a4"/>
    <w:uiPriority w:val="99"/>
    <w:semiHidden/>
    <w:rsid w:val="007A0192"/>
    <w:rPr>
      <w:sz w:val="18"/>
      <w:szCs w:val="18"/>
    </w:rPr>
  </w:style>
  <w:style w:type="paragraph" w:styleId="a6">
    <w:name w:val="Document Map"/>
    <w:basedOn w:val="a"/>
    <w:link w:val="a7"/>
    <w:uiPriority w:val="99"/>
    <w:semiHidden/>
    <w:unhideWhenUsed/>
    <w:rsid w:val="00AC4155"/>
    <w:rPr>
      <w:rFonts w:ascii="宋体" w:eastAsia="宋体"/>
      <w:sz w:val="18"/>
      <w:szCs w:val="18"/>
    </w:rPr>
  </w:style>
  <w:style w:type="character" w:customStyle="1" w:styleId="a7">
    <w:name w:val="文档结构图 字符"/>
    <w:basedOn w:val="a0"/>
    <w:link w:val="a6"/>
    <w:uiPriority w:val="99"/>
    <w:semiHidden/>
    <w:rsid w:val="00AC4155"/>
    <w:rPr>
      <w:rFonts w:ascii="宋体" w:eastAsia="宋体"/>
      <w:sz w:val="18"/>
      <w:szCs w:val="18"/>
    </w:rPr>
  </w:style>
  <w:style w:type="character" w:customStyle="1" w:styleId="20">
    <w:name w:val="标题 2 字符"/>
    <w:basedOn w:val="a0"/>
    <w:link w:val="2"/>
    <w:rsid w:val="008401BC"/>
    <w:rPr>
      <w:rFonts w:ascii="Arial" w:eastAsia="黑体" w:hAnsi="Arial" w:cs="Times New Roman"/>
      <w:b/>
      <w:bCs/>
      <w:sz w:val="32"/>
      <w:szCs w:val="32"/>
    </w:rPr>
  </w:style>
  <w:style w:type="paragraph" w:styleId="a8">
    <w:name w:val="List Paragraph"/>
    <w:basedOn w:val="a"/>
    <w:uiPriority w:val="34"/>
    <w:qFormat/>
    <w:rsid w:val="00E033B3"/>
    <w:pPr>
      <w:ind w:firstLineChars="200" w:firstLine="420"/>
    </w:pPr>
  </w:style>
  <w:style w:type="paragraph" w:styleId="a9">
    <w:name w:val="header"/>
    <w:basedOn w:val="a"/>
    <w:link w:val="aa"/>
    <w:uiPriority w:val="99"/>
    <w:unhideWhenUsed/>
    <w:rsid w:val="00C33385"/>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C33385"/>
    <w:rPr>
      <w:sz w:val="18"/>
      <w:szCs w:val="18"/>
    </w:rPr>
  </w:style>
  <w:style w:type="paragraph" w:styleId="ab">
    <w:name w:val="footer"/>
    <w:basedOn w:val="a"/>
    <w:link w:val="ac"/>
    <w:uiPriority w:val="99"/>
    <w:unhideWhenUsed/>
    <w:rsid w:val="00C33385"/>
    <w:pPr>
      <w:tabs>
        <w:tab w:val="center" w:pos="4153"/>
        <w:tab w:val="right" w:pos="8306"/>
      </w:tabs>
      <w:snapToGrid w:val="0"/>
      <w:jc w:val="left"/>
    </w:pPr>
    <w:rPr>
      <w:sz w:val="18"/>
      <w:szCs w:val="18"/>
    </w:rPr>
  </w:style>
  <w:style w:type="character" w:customStyle="1" w:styleId="ac">
    <w:name w:val="页脚 字符"/>
    <w:basedOn w:val="a0"/>
    <w:link w:val="ab"/>
    <w:uiPriority w:val="99"/>
    <w:rsid w:val="00C33385"/>
    <w:rPr>
      <w:sz w:val="18"/>
      <w:szCs w:val="18"/>
    </w:rPr>
  </w:style>
  <w:style w:type="table" w:styleId="ad">
    <w:name w:val="Table Grid"/>
    <w:basedOn w:val="a1"/>
    <w:uiPriority w:val="39"/>
    <w:rsid w:val="00E106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349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6</Pages>
  <Words>301</Words>
  <Characters>1718</Characters>
  <Application>Microsoft Office Word</Application>
  <DocSecurity>0</DocSecurity>
  <Lines>14</Lines>
  <Paragraphs>4</Paragraphs>
  <ScaleCrop>false</ScaleCrop>
  <Company>Microsoft</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葛礼强</dc:creator>
  <cp:keywords/>
  <dc:description/>
  <cp:lastModifiedBy>fanqc</cp:lastModifiedBy>
  <cp:revision>75</cp:revision>
  <dcterms:created xsi:type="dcterms:W3CDTF">2020-04-15T01:55:00Z</dcterms:created>
  <dcterms:modified xsi:type="dcterms:W3CDTF">2020-04-16T02:32:00Z</dcterms:modified>
</cp:coreProperties>
</file>